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4E4647F">
      <w:pPr>
        <w:tabs>
          <w:tab w:val="left" w:pos="644"/>
        </w:tabs>
        <w:snapToGrid w:val="0"/>
        <w:spacing w:before="156" w:beforeLines="50" w:after="156" w:afterLines="50"/>
        <w:jc w:val="left"/>
        <w:rPr>
          <w:rFonts w:ascii="黑体" w:hAnsi="黑体" w:eastAsia="黑体" w:cs="宋体"/>
          <w:bCs/>
          <w:color w:val="000000"/>
          <w:kern w:val="0"/>
          <w:szCs w:val="32"/>
        </w:rPr>
      </w:pPr>
      <w:r>
        <w:rPr>
          <w:rFonts w:hint="eastAsia" w:ascii="黑体" w:hAnsi="黑体" w:eastAsia="黑体" w:cs="宋体"/>
          <w:bCs/>
          <w:color w:val="000000"/>
          <w:kern w:val="0"/>
          <w:szCs w:val="32"/>
        </w:rPr>
        <w:t>表一：</w:t>
      </w:r>
    </w:p>
    <w:p w14:paraId="0A2D8645">
      <w:pPr>
        <w:tabs>
          <w:tab w:val="left" w:pos="644"/>
        </w:tabs>
        <w:snapToGrid w:val="0"/>
        <w:spacing w:before="156" w:beforeLines="50" w:after="156" w:afterLines="50"/>
        <w:jc w:val="center"/>
        <w:rPr>
          <w:rFonts w:ascii="黑体" w:hAnsi="黑体" w:eastAsia="黑体" w:cs="宋体"/>
          <w:b/>
          <w:bCs/>
          <w:color w:val="000000"/>
          <w:kern w:val="0"/>
          <w:sz w:val="40"/>
          <w:szCs w:val="32"/>
        </w:rPr>
      </w:pPr>
      <w:r>
        <w:rPr>
          <w:rFonts w:hint="eastAsia" w:ascii="黑体" w:hAnsi="黑体" w:eastAsia="黑体" w:cs="宋体"/>
          <w:b/>
          <w:bCs/>
          <w:color w:val="000000"/>
          <w:kern w:val="0"/>
          <w:sz w:val="40"/>
          <w:szCs w:val="32"/>
        </w:rPr>
        <w:t>无锡市住宅工程质量信息公示</w:t>
      </w:r>
    </w:p>
    <w:p w14:paraId="772B0126">
      <w:pPr>
        <w:tabs>
          <w:tab w:val="left" w:pos="644"/>
        </w:tabs>
        <w:snapToGrid w:val="0"/>
        <w:spacing w:before="156" w:beforeLines="50" w:after="156" w:afterLines="50"/>
        <w:jc w:val="center"/>
        <w:rPr>
          <w:rFonts w:ascii="黑体" w:hAnsi="黑体" w:eastAsia="黑体" w:cs="宋体"/>
          <w:bCs/>
          <w:color w:val="000000"/>
          <w:kern w:val="0"/>
          <w:szCs w:val="32"/>
        </w:rPr>
      </w:pPr>
      <w:r>
        <w:rPr>
          <w:rFonts w:hint="eastAsia" w:ascii="黑体" w:hAnsi="黑体" w:eastAsia="黑体" w:cs="宋体"/>
          <w:bCs/>
          <w:color w:val="000000"/>
          <w:kern w:val="0"/>
          <w:szCs w:val="32"/>
        </w:rPr>
        <w:t>预（销）售许可阶段</w:t>
      </w:r>
    </w:p>
    <w:p w14:paraId="5D37F80C">
      <w:pPr>
        <w:tabs>
          <w:tab w:val="left" w:pos="644"/>
        </w:tabs>
        <w:snapToGrid w:val="0"/>
        <w:spacing w:before="156" w:beforeLines="50" w:after="156" w:afterLines="50"/>
        <w:jc w:val="center"/>
        <w:rPr>
          <w:rFonts w:ascii="黑体" w:hAnsi="黑体" w:eastAsia="黑体" w:cs="宋体"/>
          <w:bCs/>
          <w:color w:val="000000"/>
          <w:kern w:val="0"/>
          <w:szCs w:val="32"/>
        </w:rPr>
      </w:pPr>
      <w:r>
        <w:rPr>
          <w:rFonts w:hint="eastAsia" w:ascii="黑体" w:hAnsi="黑体" w:eastAsia="黑体" w:cs="宋体"/>
          <w:bCs/>
          <w:color w:val="000000"/>
          <w:kern w:val="0"/>
          <w:szCs w:val="32"/>
        </w:rPr>
        <w:t>工程概况</w:t>
      </w:r>
    </w:p>
    <w:tbl>
      <w:tblPr>
        <w:tblStyle w:val="5"/>
        <w:tblW w:w="0" w:type="auto"/>
        <w:jc w:val="center"/>
        <w:tblLayout w:type="fixed"/>
        <w:tblCellMar>
          <w:top w:w="0" w:type="dxa"/>
          <w:left w:w="108" w:type="dxa"/>
          <w:bottom w:w="0" w:type="dxa"/>
          <w:right w:w="108" w:type="dxa"/>
        </w:tblCellMar>
      </w:tblPr>
      <w:tblGrid>
        <w:gridCol w:w="1410"/>
        <w:gridCol w:w="408"/>
        <w:gridCol w:w="158"/>
        <w:gridCol w:w="1477"/>
        <w:gridCol w:w="858"/>
        <w:gridCol w:w="1038"/>
        <w:gridCol w:w="951"/>
        <w:gridCol w:w="1394"/>
        <w:gridCol w:w="2240"/>
      </w:tblGrid>
      <w:tr w14:paraId="08E682E3">
        <w:tblPrEx>
          <w:tblCellMar>
            <w:top w:w="0" w:type="dxa"/>
            <w:left w:w="108" w:type="dxa"/>
            <w:bottom w:w="0" w:type="dxa"/>
            <w:right w:w="108" w:type="dxa"/>
          </w:tblCellMar>
        </w:tblPrEx>
        <w:trPr>
          <w:trHeight w:val="805" w:hRule="atLeast"/>
          <w:jc w:val="center"/>
        </w:trPr>
        <w:tc>
          <w:tcPr>
            <w:tcW w:w="1818" w:type="dxa"/>
            <w:gridSpan w:val="2"/>
            <w:tcBorders>
              <w:top w:val="single" w:color="auto" w:sz="4" w:space="0"/>
              <w:left w:val="single" w:color="auto" w:sz="4" w:space="0"/>
              <w:bottom w:val="single" w:color="auto" w:sz="4" w:space="0"/>
              <w:right w:val="single" w:color="auto" w:sz="4" w:space="0"/>
            </w:tcBorders>
            <w:vAlign w:val="center"/>
          </w:tcPr>
          <w:p w14:paraId="07ED9350">
            <w:pPr>
              <w:snapToGrid w:val="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工程名称</w:t>
            </w:r>
          </w:p>
        </w:tc>
        <w:tc>
          <w:tcPr>
            <w:tcW w:w="2493" w:type="dxa"/>
            <w:gridSpan w:val="3"/>
            <w:tcBorders>
              <w:top w:val="single" w:color="auto" w:sz="4" w:space="0"/>
              <w:left w:val="nil"/>
              <w:bottom w:val="single" w:color="auto" w:sz="4" w:space="0"/>
              <w:right w:val="single" w:color="auto" w:sz="4" w:space="0"/>
            </w:tcBorders>
            <w:vAlign w:val="center"/>
          </w:tcPr>
          <w:p w14:paraId="4DC663AE">
            <w:pPr>
              <w:snapToGrid w:val="0"/>
              <w:jc w:val="center"/>
              <w:rPr>
                <w:rFonts w:asciiTheme="minorEastAsia" w:hAnsiTheme="minorEastAsia" w:eastAsiaTheme="minorEastAsia"/>
                <w:color w:val="000000"/>
                <w:kern w:val="0"/>
                <w:sz w:val="21"/>
                <w:szCs w:val="21"/>
              </w:rPr>
            </w:pPr>
            <w:r>
              <w:rPr>
                <w:rFonts w:asciiTheme="minorEastAsia" w:hAnsiTheme="minorEastAsia" w:eastAsiaTheme="minorEastAsia"/>
                <w:color w:val="000000"/>
                <w:kern w:val="0"/>
                <w:sz w:val="21"/>
                <w:szCs w:val="21"/>
              </w:rPr>
              <w:t>XDG-2024-34</w:t>
            </w:r>
            <w:r>
              <w:rPr>
                <w:rFonts w:hint="eastAsia" w:asciiTheme="minorEastAsia" w:hAnsiTheme="minorEastAsia" w:eastAsiaTheme="minorEastAsia"/>
                <w:color w:val="000000"/>
                <w:kern w:val="0"/>
                <w:sz w:val="21"/>
                <w:szCs w:val="21"/>
              </w:rPr>
              <w:t>号地块</w:t>
            </w:r>
          </w:p>
        </w:tc>
        <w:tc>
          <w:tcPr>
            <w:tcW w:w="1989" w:type="dxa"/>
            <w:gridSpan w:val="2"/>
            <w:tcBorders>
              <w:top w:val="single" w:color="auto" w:sz="4" w:space="0"/>
              <w:left w:val="nil"/>
              <w:bottom w:val="single" w:color="auto" w:sz="4" w:space="0"/>
              <w:right w:val="single" w:color="auto" w:sz="4" w:space="0"/>
            </w:tcBorders>
            <w:vAlign w:val="center"/>
          </w:tcPr>
          <w:p w14:paraId="7B3FD0CF">
            <w:pPr>
              <w:snapToGrid w:val="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工程地点</w:t>
            </w:r>
          </w:p>
        </w:tc>
        <w:tc>
          <w:tcPr>
            <w:tcW w:w="3634" w:type="dxa"/>
            <w:gridSpan w:val="2"/>
            <w:tcBorders>
              <w:top w:val="single" w:color="auto" w:sz="4" w:space="0"/>
              <w:left w:val="nil"/>
              <w:bottom w:val="single" w:color="auto" w:sz="4" w:space="0"/>
              <w:right w:val="single" w:color="auto" w:sz="4" w:space="0"/>
            </w:tcBorders>
            <w:vAlign w:val="center"/>
          </w:tcPr>
          <w:p w14:paraId="12CBC940">
            <w:pPr>
              <w:widowControl/>
              <w:jc w:val="center"/>
              <w:textAlignment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滨湖区和风路与万顺道交叉口西南侧</w:t>
            </w:r>
          </w:p>
        </w:tc>
      </w:tr>
      <w:tr w14:paraId="588F0CE0">
        <w:tblPrEx>
          <w:tblCellMar>
            <w:top w:w="0" w:type="dxa"/>
            <w:left w:w="108" w:type="dxa"/>
            <w:bottom w:w="0" w:type="dxa"/>
            <w:right w:w="108" w:type="dxa"/>
          </w:tblCellMar>
        </w:tblPrEx>
        <w:trPr>
          <w:trHeight w:val="700" w:hRule="atLeast"/>
          <w:jc w:val="center"/>
        </w:trPr>
        <w:tc>
          <w:tcPr>
            <w:tcW w:w="1818" w:type="dxa"/>
            <w:gridSpan w:val="2"/>
            <w:tcBorders>
              <w:top w:val="single" w:color="auto" w:sz="4" w:space="0"/>
              <w:left w:val="single" w:color="auto" w:sz="4" w:space="0"/>
              <w:bottom w:val="single" w:color="auto" w:sz="4" w:space="0"/>
              <w:right w:val="single" w:color="auto" w:sz="4" w:space="0"/>
            </w:tcBorders>
            <w:vAlign w:val="center"/>
          </w:tcPr>
          <w:p w14:paraId="3D209C19">
            <w:pPr>
              <w:snapToGrid w:val="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结构形式</w:t>
            </w:r>
          </w:p>
        </w:tc>
        <w:tc>
          <w:tcPr>
            <w:tcW w:w="2493" w:type="dxa"/>
            <w:gridSpan w:val="3"/>
            <w:tcBorders>
              <w:top w:val="single" w:color="auto" w:sz="4" w:space="0"/>
              <w:left w:val="nil"/>
              <w:bottom w:val="single" w:color="auto" w:sz="4" w:space="0"/>
              <w:right w:val="single" w:color="auto" w:sz="4" w:space="0"/>
            </w:tcBorders>
            <w:vAlign w:val="center"/>
          </w:tcPr>
          <w:p w14:paraId="037354C3">
            <w:pPr>
              <w:snapToGrid w:val="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剪力墙</w:t>
            </w:r>
          </w:p>
        </w:tc>
        <w:tc>
          <w:tcPr>
            <w:tcW w:w="1989" w:type="dxa"/>
            <w:gridSpan w:val="2"/>
            <w:tcBorders>
              <w:top w:val="single" w:color="auto" w:sz="4" w:space="0"/>
              <w:left w:val="nil"/>
              <w:bottom w:val="single" w:color="auto" w:sz="4" w:space="0"/>
              <w:right w:val="single" w:color="auto" w:sz="4" w:space="0"/>
            </w:tcBorders>
            <w:vAlign w:val="center"/>
          </w:tcPr>
          <w:p w14:paraId="4075BA13">
            <w:pPr>
              <w:snapToGrid w:val="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设计使用年限</w:t>
            </w:r>
          </w:p>
        </w:tc>
        <w:tc>
          <w:tcPr>
            <w:tcW w:w="3634" w:type="dxa"/>
            <w:gridSpan w:val="2"/>
            <w:tcBorders>
              <w:top w:val="single" w:color="auto" w:sz="4" w:space="0"/>
              <w:left w:val="nil"/>
              <w:bottom w:val="single" w:color="auto" w:sz="4" w:space="0"/>
              <w:right w:val="single" w:color="auto" w:sz="4" w:space="0"/>
            </w:tcBorders>
            <w:vAlign w:val="center"/>
          </w:tcPr>
          <w:p w14:paraId="1C745759">
            <w:pPr>
              <w:widowControl/>
              <w:jc w:val="center"/>
              <w:textAlignment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50年</w:t>
            </w:r>
          </w:p>
        </w:tc>
      </w:tr>
      <w:tr w14:paraId="3C98E947">
        <w:tblPrEx>
          <w:tblCellMar>
            <w:top w:w="0" w:type="dxa"/>
            <w:left w:w="108" w:type="dxa"/>
            <w:bottom w:w="0" w:type="dxa"/>
            <w:right w:w="108" w:type="dxa"/>
          </w:tblCellMar>
        </w:tblPrEx>
        <w:trPr>
          <w:trHeight w:val="607" w:hRule="atLeast"/>
          <w:jc w:val="center"/>
        </w:trPr>
        <w:tc>
          <w:tcPr>
            <w:tcW w:w="9934" w:type="dxa"/>
            <w:gridSpan w:val="9"/>
            <w:tcBorders>
              <w:top w:val="single" w:color="auto" w:sz="4" w:space="0"/>
              <w:left w:val="single" w:color="auto" w:sz="4" w:space="0"/>
              <w:bottom w:val="single" w:color="auto" w:sz="4" w:space="0"/>
              <w:right w:val="single" w:color="auto" w:sz="4" w:space="0"/>
            </w:tcBorders>
            <w:vAlign w:val="center"/>
          </w:tcPr>
          <w:p w14:paraId="1856B620">
            <w:pPr>
              <w:snapToGrid w:val="0"/>
              <w:jc w:val="center"/>
              <w:rPr>
                <w:rFonts w:ascii="仿宋" w:hAnsi="仿宋" w:eastAsia="仿宋" w:cs="宋体"/>
                <w:b/>
                <w:color w:val="000000"/>
                <w:kern w:val="0"/>
                <w:sz w:val="21"/>
                <w:szCs w:val="21"/>
              </w:rPr>
            </w:pPr>
            <w:r>
              <w:rPr>
                <w:rFonts w:hint="eastAsia" w:ascii="仿宋" w:hAnsi="仿宋" w:eastAsia="仿宋" w:cs="宋体"/>
                <w:b/>
                <w:color w:val="000000"/>
                <w:kern w:val="0"/>
                <w:sz w:val="28"/>
                <w:szCs w:val="21"/>
              </w:rPr>
              <w:t>参建各方责任单位</w:t>
            </w:r>
          </w:p>
        </w:tc>
      </w:tr>
      <w:tr w14:paraId="2106D087">
        <w:tblPrEx>
          <w:tblCellMar>
            <w:top w:w="0" w:type="dxa"/>
            <w:left w:w="108" w:type="dxa"/>
            <w:bottom w:w="0" w:type="dxa"/>
            <w:right w:w="108" w:type="dxa"/>
          </w:tblCellMar>
        </w:tblPrEx>
        <w:trPr>
          <w:trHeight w:val="360" w:hRule="atLeast"/>
          <w:jc w:val="center"/>
        </w:trPr>
        <w:tc>
          <w:tcPr>
            <w:tcW w:w="1410" w:type="dxa"/>
            <w:tcBorders>
              <w:top w:val="single" w:color="auto" w:sz="4" w:space="0"/>
              <w:left w:val="single" w:color="auto" w:sz="4" w:space="0"/>
              <w:bottom w:val="single" w:color="auto" w:sz="4" w:space="0"/>
              <w:right w:val="single" w:color="auto" w:sz="4" w:space="0"/>
            </w:tcBorders>
            <w:vAlign w:val="center"/>
          </w:tcPr>
          <w:p w14:paraId="721B336E">
            <w:pPr>
              <w:snapToGrid w:val="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项    目</w:t>
            </w:r>
          </w:p>
        </w:tc>
        <w:tc>
          <w:tcPr>
            <w:tcW w:w="2043" w:type="dxa"/>
            <w:gridSpan w:val="3"/>
            <w:tcBorders>
              <w:top w:val="single" w:color="auto" w:sz="4" w:space="0"/>
              <w:left w:val="nil"/>
              <w:bottom w:val="single" w:color="auto" w:sz="4" w:space="0"/>
              <w:right w:val="single" w:color="auto" w:sz="4" w:space="0"/>
            </w:tcBorders>
            <w:vAlign w:val="center"/>
          </w:tcPr>
          <w:p w14:paraId="33396648">
            <w:pPr>
              <w:snapToGrid w:val="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单位名称</w:t>
            </w:r>
          </w:p>
        </w:tc>
        <w:tc>
          <w:tcPr>
            <w:tcW w:w="1896" w:type="dxa"/>
            <w:gridSpan w:val="2"/>
            <w:tcBorders>
              <w:top w:val="single" w:color="auto" w:sz="4" w:space="0"/>
              <w:left w:val="nil"/>
              <w:bottom w:val="single" w:color="auto" w:sz="4" w:space="0"/>
              <w:right w:val="single" w:color="auto" w:sz="4" w:space="0"/>
            </w:tcBorders>
            <w:vAlign w:val="center"/>
          </w:tcPr>
          <w:p w14:paraId="7191C0CD">
            <w:pPr>
              <w:snapToGrid w:val="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资质</w:t>
            </w:r>
          </w:p>
        </w:tc>
        <w:tc>
          <w:tcPr>
            <w:tcW w:w="2345" w:type="dxa"/>
            <w:gridSpan w:val="2"/>
            <w:tcBorders>
              <w:top w:val="nil"/>
              <w:left w:val="nil"/>
              <w:bottom w:val="single" w:color="auto" w:sz="4" w:space="0"/>
              <w:right w:val="single" w:color="auto" w:sz="4" w:space="0"/>
            </w:tcBorders>
            <w:vAlign w:val="center"/>
          </w:tcPr>
          <w:p w14:paraId="0359376D">
            <w:pPr>
              <w:snapToGrid w:val="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统一社会信用代码</w:t>
            </w:r>
          </w:p>
        </w:tc>
        <w:tc>
          <w:tcPr>
            <w:tcW w:w="2240" w:type="dxa"/>
            <w:tcBorders>
              <w:top w:val="nil"/>
              <w:left w:val="single" w:color="auto" w:sz="4" w:space="0"/>
              <w:bottom w:val="single" w:color="auto" w:sz="4" w:space="0"/>
              <w:right w:val="single" w:color="auto" w:sz="4" w:space="0"/>
            </w:tcBorders>
            <w:vAlign w:val="center"/>
          </w:tcPr>
          <w:p w14:paraId="75F5721A">
            <w:pPr>
              <w:snapToGrid w:val="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项目负责人</w:t>
            </w:r>
          </w:p>
        </w:tc>
      </w:tr>
      <w:tr w14:paraId="74130C8B">
        <w:tblPrEx>
          <w:tblCellMar>
            <w:top w:w="0" w:type="dxa"/>
            <w:left w:w="108" w:type="dxa"/>
            <w:bottom w:w="0" w:type="dxa"/>
            <w:right w:w="108" w:type="dxa"/>
          </w:tblCellMar>
        </w:tblPrEx>
        <w:trPr>
          <w:trHeight w:val="858" w:hRule="atLeast"/>
          <w:jc w:val="center"/>
        </w:trPr>
        <w:tc>
          <w:tcPr>
            <w:tcW w:w="1410" w:type="dxa"/>
            <w:tcBorders>
              <w:top w:val="single" w:color="auto" w:sz="4" w:space="0"/>
              <w:left w:val="single" w:color="auto" w:sz="4" w:space="0"/>
              <w:bottom w:val="single" w:color="auto" w:sz="4" w:space="0"/>
              <w:right w:val="single" w:color="auto" w:sz="4" w:space="0"/>
            </w:tcBorders>
            <w:vAlign w:val="center"/>
          </w:tcPr>
          <w:p w14:paraId="12915309">
            <w:pPr>
              <w:snapToGrid w:val="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建设单位</w:t>
            </w:r>
          </w:p>
        </w:tc>
        <w:tc>
          <w:tcPr>
            <w:tcW w:w="2043" w:type="dxa"/>
            <w:gridSpan w:val="3"/>
            <w:tcBorders>
              <w:top w:val="single" w:color="auto" w:sz="4" w:space="0"/>
              <w:left w:val="nil"/>
              <w:bottom w:val="single" w:color="auto" w:sz="4" w:space="0"/>
              <w:right w:val="single" w:color="auto" w:sz="4" w:space="0"/>
            </w:tcBorders>
            <w:vAlign w:val="center"/>
          </w:tcPr>
          <w:p w14:paraId="28B0236D">
            <w:pPr>
              <w:widowControl/>
              <w:jc w:val="center"/>
              <w:textAlignment w:val="center"/>
              <w:rPr>
                <w:rFonts w:cs="宋体" w:asciiTheme="minorEastAsia" w:hAnsiTheme="minorEastAsia" w:eastAsiaTheme="minorEastAsia"/>
                <w:color w:val="000000"/>
                <w:sz w:val="24"/>
                <w:szCs w:val="24"/>
              </w:rPr>
            </w:pPr>
            <w:r>
              <w:rPr>
                <w:rFonts w:hint="eastAsia" w:cs="宋体" w:asciiTheme="minorEastAsia" w:hAnsiTheme="minorEastAsia" w:eastAsiaTheme="minorEastAsia"/>
                <w:color w:val="000000"/>
                <w:sz w:val="24"/>
                <w:szCs w:val="24"/>
              </w:rPr>
              <w:t>无锡山水嘉泰置业有限公司</w:t>
            </w:r>
          </w:p>
        </w:tc>
        <w:tc>
          <w:tcPr>
            <w:tcW w:w="1896" w:type="dxa"/>
            <w:gridSpan w:val="2"/>
            <w:tcBorders>
              <w:top w:val="single" w:color="auto" w:sz="4" w:space="0"/>
              <w:left w:val="nil"/>
              <w:bottom w:val="single" w:color="auto" w:sz="4" w:space="0"/>
              <w:right w:val="single" w:color="auto" w:sz="4" w:space="0"/>
            </w:tcBorders>
            <w:vAlign w:val="center"/>
          </w:tcPr>
          <w:p w14:paraId="3B23BC64">
            <w:pPr>
              <w:snapToGrid w:val="0"/>
              <w:jc w:val="center"/>
              <w:rPr>
                <w:rFonts w:asciiTheme="minorEastAsia" w:hAnsiTheme="minorEastAsia" w:eastAsiaTheme="minorEastAsia"/>
                <w:color w:val="000000"/>
                <w:kern w:val="0"/>
                <w:sz w:val="21"/>
                <w:szCs w:val="21"/>
              </w:rPr>
            </w:pPr>
            <w:r>
              <w:rPr>
                <w:rFonts w:hint="eastAsia" w:asciiTheme="minorEastAsia" w:hAnsiTheme="minorEastAsia" w:eastAsiaTheme="minorEastAsia"/>
                <w:color w:val="000000"/>
                <w:kern w:val="0"/>
                <w:sz w:val="21"/>
                <w:szCs w:val="21"/>
              </w:rPr>
              <w:t>贰级</w:t>
            </w:r>
          </w:p>
        </w:tc>
        <w:tc>
          <w:tcPr>
            <w:tcW w:w="2345" w:type="dxa"/>
            <w:gridSpan w:val="2"/>
            <w:tcBorders>
              <w:top w:val="nil"/>
              <w:left w:val="nil"/>
              <w:bottom w:val="single" w:color="auto" w:sz="4" w:space="0"/>
              <w:right w:val="single" w:color="auto" w:sz="4" w:space="0"/>
            </w:tcBorders>
            <w:vAlign w:val="center"/>
          </w:tcPr>
          <w:p w14:paraId="59963EEA">
            <w:pPr>
              <w:snapToGrid w:val="0"/>
              <w:jc w:val="center"/>
              <w:rPr>
                <w:rFonts w:asciiTheme="minorEastAsia" w:hAnsiTheme="minorEastAsia" w:eastAsiaTheme="minorEastAsia"/>
                <w:color w:val="000000"/>
                <w:kern w:val="0"/>
                <w:sz w:val="21"/>
                <w:szCs w:val="21"/>
              </w:rPr>
            </w:pPr>
            <w:r>
              <w:rPr>
                <w:rFonts w:asciiTheme="minorEastAsia" w:hAnsiTheme="minorEastAsia" w:eastAsiaTheme="minorEastAsia"/>
                <w:color w:val="000000"/>
                <w:kern w:val="0"/>
                <w:sz w:val="21"/>
                <w:szCs w:val="21"/>
              </w:rPr>
              <w:t>91320211MAE2NJ685D</w:t>
            </w:r>
          </w:p>
        </w:tc>
        <w:tc>
          <w:tcPr>
            <w:tcW w:w="2240" w:type="dxa"/>
            <w:tcBorders>
              <w:top w:val="nil"/>
              <w:left w:val="single" w:color="auto" w:sz="4" w:space="0"/>
              <w:bottom w:val="single" w:color="auto" w:sz="4" w:space="0"/>
              <w:right w:val="single" w:color="auto" w:sz="4" w:space="0"/>
            </w:tcBorders>
            <w:vAlign w:val="center"/>
          </w:tcPr>
          <w:p w14:paraId="7B5123E7">
            <w:pPr>
              <w:snapToGrid w:val="0"/>
              <w:jc w:val="center"/>
              <w:rPr>
                <w:rFonts w:asciiTheme="minorEastAsia" w:hAnsiTheme="minorEastAsia" w:eastAsiaTheme="minorEastAsia"/>
                <w:color w:val="000000"/>
                <w:kern w:val="0"/>
                <w:sz w:val="21"/>
                <w:szCs w:val="21"/>
              </w:rPr>
            </w:pPr>
            <w:r>
              <w:rPr>
                <w:rFonts w:hint="eastAsia" w:asciiTheme="minorEastAsia" w:hAnsiTheme="minorEastAsia" w:eastAsiaTheme="minorEastAsia"/>
                <w:color w:val="000000"/>
                <w:kern w:val="0"/>
                <w:sz w:val="21"/>
                <w:szCs w:val="21"/>
              </w:rPr>
              <w:t>朱凯</w:t>
            </w:r>
          </w:p>
        </w:tc>
      </w:tr>
      <w:tr w14:paraId="388A97BB">
        <w:tblPrEx>
          <w:tblCellMar>
            <w:top w:w="0" w:type="dxa"/>
            <w:left w:w="108" w:type="dxa"/>
            <w:bottom w:w="0" w:type="dxa"/>
            <w:right w:w="108" w:type="dxa"/>
          </w:tblCellMar>
        </w:tblPrEx>
        <w:trPr>
          <w:trHeight w:val="782" w:hRule="atLeast"/>
          <w:jc w:val="center"/>
        </w:trPr>
        <w:tc>
          <w:tcPr>
            <w:tcW w:w="1410" w:type="dxa"/>
            <w:tcBorders>
              <w:top w:val="single" w:color="auto" w:sz="4" w:space="0"/>
              <w:left w:val="single" w:color="auto" w:sz="4" w:space="0"/>
              <w:bottom w:val="single" w:color="auto" w:sz="4" w:space="0"/>
              <w:right w:val="single" w:color="auto" w:sz="4" w:space="0"/>
            </w:tcBorders>
            <w:vAlign w:val="center"/>
          </w:tcPr>
          <w:p w14:paraId="2DD45444">
            <w:pPr>
              <w:snapToGrid w:val="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勘察单位</w:t>
            </w:r>
          </w:p>
        </w:tc>
        <w:tc>
          <w:tcPr>
            <w:tcW w:w="2043" w:type="dxa"/>
            <w:gridSpan w:val="3"/>
            <w:tcBorders>
              <w:top w:val="single" w:color="auto" w:sz="4" w:space="0"/>
              <w:left w:val="nil"/>
              <w:bottom w:val="single" w:color="auto" w:sz="4" w:space="0"/>
              <w:right w:val="single" w:color="auto" w:sz="4" w:space="0"/>
            </w:tcBorders>
            <w:vAlign w:val="center"/>
          </w:tcPr>
          <w:p w14:paraId="0FB593FF">
            <w:pPr>
              <w:widowControl/>
              <w:jc w:val="center"/>
              <w:textAlignment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中煤江苏勘测设计研究院有限公司</w:t>
            </w:r>
          </w:p>
        </w:tc>
        <w:tc>
          <w:tcPr>
            <w:tcW w:w="1896" w:type="dxa"/>
            <w:gridSpan w:val="2"/>
            <w:tcBorders>
              <w:top w:val="single" w:color="auto" w:sz="4" w:space="0"/>
              <w:left w:val="nil"/>
              <w:bottom w:val="single" w:color="auto" w:sz="4" w:space="0"/>
              <w:right w:val="single" w:color="auto" w:sz="4" w:space="0"/>
            </w:tcBorders>
            <w:vAlign w:val="center"/>
          </w:tcPr>
          <w:p w14:paraId="2CB917BD">
            <w:pPr>
              <w:widowControl/>
              <w:jc w:val="center"/>
              <w:textAlignment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工程勘察综合资质甲级</w:t>
            </w:r>
          </w:p>
        </w:tc>
        <w:tc>
          <w:tcPr>
            <w:tcW w:w="2345" w:type="dxa"/>
            <w:gridSpan w:val="2"/>
            <w:tcBorders>
              <w:top w:val="nil"/>
              <w:left w:val="nil"/>
              <w:bottom w:val="single" w:color="auto" w:sz="4" w:space="0"/>
              <w:right w:val="single" w:color="auto" w:sz="4" w:space="0"/>
            </w:tcBorders>
            <w:vAlign w:val="center"/>
          </w:tcPr>
          <w:p w14:paraId="63B3AEEA">
            <w:pPr>
              <w:snapToGrid w:val="0"/>
              <w:jc w:val="center"/>
              <w:rPr>
                <w:rFonts w:asciiTheme="minorEastAsia" w:hAnsiTheme="minorEastAsia" w:eastAsiaTheme="minorEastAsia"/>
                <w:color w:val="000000"/>
                <w:kern w:val="0"/>
                <w:sz w:val="21"/>
                <w:szCs w:val="21"/>
              </w:rPr>
            </w:pPr>
            <w:r>
              <w:rPr>
                <w:rFonts w:hint="eastAsia" w:asciiTheme="minorEastAsia" w:hAnsiTheme="minorEastAsia" w:eastAsiaTheme="minorEastAsia"/>
                <w:color w:val="000000"/>
                <w:kern w:val="0"/>
                <w:sz w:val="21"/>
                <w:szCs w:val="21"/>
              </w:rPr>
              <w:t>913202111358991059</w:t>
            </w:r>
          </w:p>
        </w:tc>
        <w:tc>
          <w:tcPr>
            <w:tcW w:w="2240" w:type="dxa"/>
            <w:tcBorders>
              <w:top w:val="nil"/>
              <w:left w:val="single" w:color="auto" w:sz="4" w:space="0"/>
              <w:bottom w:val="single" w:color="auto" w:sz="4" w:space="0"/>
              <w:right w:val="single" w:color="auto" w:sz="4" w:space="0"/>
            </w:tcBorders>
            <w:vAlign w:val="center"/>
          </w:tcPr>
          <w:p w14:paraId="37371350">
            <w:pPr>
              <w:widowControl/>
              <w:jc w:val="center"/>
              <w:textAlignment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刘晶</w:t>
            </w:r>
          </w:p>
        </w:tc>
      </w:tr>
      <w:tr w14:paraId="15BC0316">
        <w:tblPrEx>
          <w:tblCellMar>
            <w:top w:w="0" w:type="dxa"/>
            <w:left w:w="108" w:type="dxa"/>
            <w:bottom w:w="0" w:type="dxa"/>
            <w:right w:w="108" w:type="dxa"/>
          </w:tblCellMar>
        </w:tblPrEx>
        <w:trPr>
          <w:trHeight w:val="862" w:hRule="atLeast"/>
          <w:jc w:val="center"/>
        </w:trPr>
        <w:tc>
          <w:tcPr>
            <w:tcW w:w="1410" w:type="dxa"/>
            <w:tcBorders>
              <w:top w:val="single" w:color="auto" w:sz="4" w:space="0"/>
              <w:left w:val="single" w:color="auto" w:sz="4" w:space="0"/>
              <w:bottom w:val="single" w:color="auto" w:sz="4" w:space="0"/>
              <w:right w:val="single" w:color="auto" w:sz="4" w:space="0"/>
            </w:tcBorders>
            <w:vAlign w:val="center"/>
          </w:tcPr>
          <w:p w14:paraId="6F450621">
            <w:pPr>
              <w:snapToGrid w:val="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设计单位</w:t>
            </w:r>
          </w:p>
        </w:tc>
        <w:tc>
          <w:tcPr>
            <w:tcW w:w="2043" w:type="dxa"/>
            <w:gridSpan w:val="3"/>
            <w:tcBorders>
              <w:top w:val="single" w:color="auto" w:sz="4" w:space="0"/>
              <w:left w:val="nil"/>
              <w:bottom w:val="single" w:color="auto" w:sz="4" w:space="0"/>
              <w:right w:val="single" w:color="auto" w:sz="4" w:space="0"/>
            </w:tcBorders>
            <w:vAlign w:val="center"/>
          </w:tcPr>
          <w:p w14:paraId="6ECCA68C">
            <w:pPr>
              <w:widowControl/>
              <w:jc w:val="center"/>
              <w:textAlignment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江苏省建筑材料研究设计院有限公司</w:t>
            </w:r>
          </w:p>
        </w:tc>
        <w:tc>
          <w:tcPr>
            <w:tcW w:w="1896" w:type="dxa"/>
            <w:gridSpan w:val="2"/>
            <w:tcBorders>
              <w:top w:val="single" w:color="auto" w:sz="4" w:space="0"/>
              <w:left w:val="nil"/>
              <w:bottom w:val="single" w:color="auto" w:sz="4" w:space="0"/>
              <w:right w:val="single" w:color="auto" w:sz="4" w:space="0"/>
            </w:tcBorders>
            <w:vAlign w:val="center"/>
          </w:tcPr>
          <w:p w14:paraId="25A0F041">
            <w:pPr>
              <w:widowControl/>
              <w:jc w:val="center"/>
              <w:textAlignment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建筑行业(建筑工程)甲级</w:t>
            </w:r>
          </w:p>
        </w:tc>
        <w:tc>
          <w:tcPr>
            <w:tcW w:w="2345" w:type="dxa"/>
            <w:gridSpan w:val="2"/>
            <w:tcBorders>
              <w:top w:val="nil"/>
              <w:left w:val="nil"/>
              <w:bottom w:val="single" w:color="auto" w:sz="4" w:space="0"/>
              <w:right w:val="single" w:color="auto" w:sz="4" w:space="0"/>
            </w:tcBorders>
            <w:vAlign w:val="center"/>
          </w:tcPr>
          <w:p w14:paraId="22EC6E3B">
            <w:pPr>
              <w:snapToGrid w:val="0"/>
              <w:jc w:val="center"/>
              <w:rPr>
                <w:rFonts w:asciiTheme="minorEastAsia" w:hAnsiTheme="minorEastAsia" w:eastAsiaTheme="minorEastAsia"/>
                <w:color w:val="000000"/>
                <w:kern w:val="0"/>
                <w:sz w:val="21"/>
                <w:szCs w:val="21"/>
              </w:rPr>
            </w:pPr>
            <w:r>
              <w:rPr>
                <w:rFonts w:hint="eastAsia" w:asciiTheme="minorEastAsia" w:hAnsiTheme="minorEastAsia" w:eastAsiaTheme="minorEastAsia"/>
                <w:color w:val="000000"/>
                <w:kern w:val="0"/>
                <w:sz w:val="21"/>
                <w:szCs w:val="21"/>
              </w:rPr>
              <w:t>913200004660017690</w:t>
            </w:r>
          </w:p>
        </w:tc>
        <w:tc>
          <w:tcPr>
            <w:tcW w:w="2240" w:type="dxa"/>
            <w:tcBorders>
              <w:top w:val="nil"/>
              <w:left w:val="single" w:color="auto" w:sz="4" w:space="0"/>
              <w:bottom w:val="single" w:color="auto" w:sz="4" w:space="0"/>
              <w:right w:val="single" w:color="auto" w:sz="4" w:space="0"/>
            </w:tcBorders>
            <w:vAlign w:val="center"/>
          </w:tcPr>
          <w:p w14:paraId="050BE56F">
            <w:pPr>
              <w:widowControl/>
              <w:jc w:val="center"/>
              <w:textAlignment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郑剑武</w:t>
            </w:r>
          </w:p>
        </w:tc>
      </w:tr>
      <w:tr w14:paraId="2EE93232">
        <w:tblPrEx>
          <w:tblCellMar>
            <w:top w:w="0" w:type="dxa"/>
            <w:left w:w="108" w:type="dxa"/>
            <w:bottom w:w="0" w:type="dxa"/>
            <w:right w:w="108" w:type="dxa"/>
          </w:tblCellMar>
        </w:tblPrEx>
        <w:trPr>
          <w:trHeight w:val="800" w:hRule="atLeast"/>
          <w:jc w:val="center"/>
        </w:trPr>
        <w:tc>
          <w:tcPr>
            <w:tcW w:w="1410" w:type="dxa"/>
            <w:tcBorders>
              <w:top w:val="single" w:color="auto" w:sz="4" w:space="0"/>
              <w:left w:val="single" w:color="auto" w:sz="4" w:space="0"/>
              <w:bottom w:val="single" w:color="auto" w:sz="4" w:space="0"/>
              <w:right w:val="single" w:color="auto" w:sz="4" w:space="0"/>
            </w:tcBorders>
            <w:vAlign w:val="center"/>
          </w:tcPr>
          <w:p w14:paraId="664171AC">
            <w:pPr>
              <w:snapToGrid w:val="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施工单位</w:t>
            </w:r>
          </w:p>
        </w:tc>
        <w:tc>
          <w:tcPr>
            <w:tcW w:w="2043" w:type="dxa"/>
            <w:gridSpan w:val="3"/>
            <w:tcBorders>
              <w:top w:val="single" w:color="auto" w:sz="4" w:space="0"/>
              <w:left w:val="nil"/>
              <w:bottom w:val="single" w:color="auto" w:sz="4" w:space="0"/>
              <w:right w:val="single" w:color="auto" w:sz="4" w:space="0"/>
            </w:tcBorders>
            <w:vAlign w:val="center"/>
          </w:tcPr>
          <w:p w14:paraId="1E85B3E8">
            <w:pPr>
              <w:widowControl/>
              <w:jc w:val="center"/>
              <w:textAlignment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中铁八局集团第三工程有限公司</w:t>
            </w:r>
          </w:p>
        </w:tc>
        <w:tc>
          <w:tcPr>
            <w:tcW w:w="1896" w:type="dxa"/>
            <w:gridSpan w:val="2"/>
            <w:tcBorders>
              <w:top w:val="single" w:color="auto" w:sz="4" w:space="0"/>
              <w:left w:val="nil"/>
              <w:bottom w:val="single" w:color="auto" w:sz="4" w:space="0"/>
              <w:right w:val="single" w:color="auto" w:sz="4" w:space="0"/>
            </w:tcBorders>
            <w:vAlign w:val="center"/>
          </w:tcPr>
          <w:p w14:paraId="6B4BB7E1">
            <w:pPr>
              <w:widowControl/>
              <w:textAlignment w:val="center"/>
              <w:rPr>
                <w:rFonts w:hint="eastAsia"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建筑工程施工总承包壹级</w:t>
            </w:r>
          </w:p>
        </w:tc>
        <w:tc>
          <w:tcPr>
            <w:tcW w:w="2345" w:type="dxa"/>
            <w:gridSpan w:val="2"/>
            <w:tcBorders>
              <w:top w:val="nil"/>
              <w:left w:val="nil"/>
              <w:bottom w:val="single" w:color="auto" w:sz="4" w:space="0"/>
              <w:right w:val="single" w:color="auto" w:sz="4" w:space="0"/>
            </w:tcBorders>
            <w:vAlign w:val="center"/>
          </w:tcPr>
          <w:p w14:paraId="3FF209F5">
            <w:pPr>
              <w:widowControl/>
              <w:jc w:val="center"/>
              <w:textAlignment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9</w:t>
            </w:r>
            <w:r>
              <w:rPr>
                <w:rFonts w:cs="宋体" w:asciiTheme="minorEastAsia" w:hAnsiTheme="minorEastAsia" w:eastAsiaTheme="minorEastAsia"/>
                <w:color w:val="000000"/>
                <w:kern w:val="0"/>
                <w:sz w:val="21"/>
                <w:szCs w:val="21"/>
              </w:rPr>
              <w:t>15201007309640122</w:t>
            </w:r>
          </w:p>
        </w:tc>
        <w:tc>
          <w:tcPr>
            <w:tcW w:w="2240" w:type="dxa"/>
            <w:tcBorders>
              <w:top w:val="nil"/>
              <w:left w:val="single" w:color="auto" w:sz="4" w:space="0"/>
              <w:bottom w:val="single" w:color="auto" w:sz="4" w:space="0"/>
              <w:right w:val="single" w:color="auto" w:sz="4" w:space="0"/>
            </w:tcBorders>
            <w:vAlign w:val="center"/>
          </w:tcPr>
          <w:p w14:paraId="6911665D">
            <w:pPr>
              <w:widowControl/>
              <w:jc w:val="center"/>
              <w:textAlignment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范厚朝</w:t>
            </w:r>
          </w:p>
        </w:tc>
      </w:tr>
      <w:tr w14:paraId="1E9BC077">
        <w:tblPrEx>
          <w:tblCellMar>
            <w:top w:w="0" w:type="dxa"/>
            <w:left w:w="108" w:type="dxa"/>
            <w:bottom w:w="0" w:type="dxa"/>
            <w:right w:w="108" w:type="dxa"/>
          </w:tblCellMar>
        </w:tblPrEx>
        <w:trPr>
          <w:trHeight w:val="866" w:hRule="atLeast"/>
          <w:jc w:val="center"/>
        </w:trPr>
        <w:tc>
          <w:tcPr>
            <w:tcW w:w="1410" w:type="dxa"/>
            <w:tcBorders>
              <w:top w:val="single" w:color="auto" w:sz="4" w:space="0"/>
              <w:left w:val="single" w:color="auto" w:sz="4" w:space="0"/>
              <w:bottom w:val="single" w:color="auto" w:sz="4" w:space="0"/>
              <w:right w:val="single" w:color="auto" w:sz="4" w:space="0"/>
            </w:tcBorders>
            <w:vAlign w:val="center"/>
          </w:tcPr>
          <w:p w14:paraId="54942CEE">
            <w:pPr>
              <w:snapToGrid w:val="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监理单位</w:t>
            </w:r>
          </w:p>
        </w:tc>
        <w:tc>
          <w:tcPr>
            <w:tcW w:w="2043" w:type="dxa"/>
            <w:gridSpan w:val="3"/>
            <w:tcBorders>
              <w:top w:val="single" w:color="auto" w:sz="4" w:space="0"/>
              <w:left w:val="nil"/>
              <w:bottom w:val="single" w:color="auto" w:sz="4" w:space="0"/>
              <w:right w:val="single" w:color="auto" w:sz="4" w:space="0"/>
            </w:tcBorders>
            <w:vAlign w:val="center"/>
          </w:tcPr>
          <w:p w14:paraId="32004CC2">
            <w:pPr>
              <w:widowControl/>
              <w:jc w:val="center"/>
              <w:textAlignment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江苏新桂工程咨询有限公司</w:t>
            </w:r>
          </w:p>
        </w:tc>
        <w:tc>
          <w:tcPr>
            <w:tcW w:w="1896" w:type="dxa"/>
            <w:gridSpan w:val="2"/>
            <w:tcBorders>
              <w:top w:val="single" w:color="auto" w:sz="4" w:space="0"/>
              <w:left w:val="nil"/>
              <w:bottom w:val="single" w:color="auto" w:sz="4" w:space="0"/>
              <w:right w:val="single" w:color="auto" w:sz="4" w:space="0"/>
            </w:tcBorders>
            <w:vAlign w:val="center"/>
          </w:tcPr>
          <w:p w14:paraId="6B43C100">
            <w:pPr>
              <w:widowControl/>
              <w:jc w:val="center"/>
              <w:textAlignment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房屋建筑工程乙级</w:t>
            </w:r>
          </w:p>
        </w:tc>
        <w:tc>
          <w:tcPr>
            <w:tcW w:w="2345" w:type="dxa"/>
            <w:gridSpan w:val="2"/>
            <w:tcBorders>
              <w:top w:val="nil"/>
              <w:left w:val="nil"/>
              <w:bottom w:val="single" w:color="auto" w:sz="4" w:space="0"/>
              <w:right w:val="single" w:color="auto" w:sz="4" w:space="0"/>
            </w:tcBorders>
            <w:vAlign w:val="center"/>
          </w:tcPr>
          <w:p w14:paraId="69071588">
            <w:pPr>
              <w:snapToGrid w:val="0"/>
              <w:jc w:val="center"/>
              <w:rPr>
                <w:rFonts w:asciiTheme="minorEastAsia" w:hAnsiTheme="minorEastAsia" w:eastAsiaTheme="minorEastAsia"/>
                <w:color w:val="000000"/>
                <w:kern w:val="0"/>
                <w:sz w:val="21"/>
                <w:szCs w:val="21"/>
              </w:rPr>
            </w:pPr>
            <w:r>
              <w:rPr>
                <w:rFonts w:cs="宋体" w:asciiTheme="minorEastAsia" w:hAnsiTheme="minorEastAsia" w:eastAsiaTheme="minorEastAsia"/>
                <w:color w:val="000000"/>
                <w:kern w:val="0"/>
                <w:sz w:val="21"/>
                <w:szCs w:val="21"/>
              </w:rPr>
              <w:t>91320211MA7JYLT58</w:t>
            </w:r>
          </w:p>
        </w:tc>
        <w:tc>
          <w:tcPr>
            <w:tcW w:w="2240" w:type="dxa"/>
            <w:tcBorders>
              <w:top w:val="nil"/>
              <w:left w:val="single" w:color="auto" w:sz="4" w:space="0"/>
              <w:bottom w:val="single" w:color="auto" w:sz="4" w:space="0"/>
              <w:right w:val="single" w:color="auto" w:sz="4" w:space="0"/>
            </w:tcBorders>
            <w:vAlign w:val="center"/>
          </w:tcPr>
          <w:p w14:paraId="1B6C0C55">
            <w:pPr>
              <w:widowControl/>
              <w:jc w:val="center"/>
              <w:textAlignment w:val="center"/>
              <w:rPr>
                <w:rFonts w:cs="宋体" w:asciiTheme="minorEastAsia" w:hAnsiTheme="minorEastAsia" w:eastAsiaTheme="minorEastAsia"/>
                <w:color w:val="000000"/>
                <w:kern w:val="0"/>
                <w:sz w:val="21"/>
                <w:szCs w:val="21"/>
              </w:rPr>
            </w:pPr>
            <w:r>
              <w:rPr>
                <w:rFonts w:hint="eastAsia" w:asciiTheme="minorEastAsia" w:hAnsiTheme="minorEastAsia" w:eastAsiaTheme="minorEastAsia"/>
                <w:color w:val="000000"/>
                <w:kern w:val="0"/>
                <w:sz w:val="21"/>
                <w:szCs w:val="21"/>
              </w:rPr>
              <w:t>刘泉</w:t>
            </w:r>
          </w:p>
        </w:tc>
      </w:tr>
      <w:tr w14:paraId="7A62E9A9">
        <w:tblPrEx>
          <w:tblCellMar>
            <w:top w:w="0" w:type="dxa"/>
            <w:left w:w="108" w:type="dxa"/>
            <w:bottom w:w="0" w:type="dxa"/>
            <w:right w:w="108" w:type="dxa"/>
          </w:tblCellMar>
        </w:tblPrEx>
        <w:trPr>
          <w:trHeight w:val="1215" w:hRule="atLeast"/>
          <w:jc w:val="center"/>
        </w:trPr>
        <w:tc>
          <w:tcPr>
            <w:tcW w:w="1410" w:type="dxa"/>
            <w:tcBorders>
              <w:top w:val="single" w:color="auto" w:sz="4" w:space="0"/>
              <w:left w:val="single" w:color="auto" w:sz="4" w:space="0"/>
              <w:bottom w:val="single" w:color="000000" w:sz="4" w:space="0"/>
              <w:right w:val="single" w:color="000000" w:sz="4" w:space="0"/>
            </w:tcBorders>
            <w:vAlign w:val="center"/>
          </w:tcPr>
          <w:p w14:paraId="0CA794AE">
            <w:pPr>
              <w:snapToGrid w:val="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检测单位</w:t>
            </w:r>
          </w:p>
        </w:tc>
        <w:tc>
          <w:tcPr>
            <w:tcW w:w="2043" w:type="dxa"/>
            <w:gridSpan w:val="3"/>
            <w:tcBorders>
              <w:top w:val="single" w:color="auto" w:sz="4" w:space="0"/>
              <w:left w:val="nil"/>
              <w:bottom w:val="single" w:color="auto" w:sz="4" w:space="0"/>
              <w:right w:val="single" w:color="auto" w:sz="4" w:space="0"/>
            </w:tcBorders>
            <w:vAlign w:val="center"/>
          </w:tcPr>
          <w:p w14:paraId="5CB20B05">
            <w:pPr>
              <w:widowControl/>
              <w:jc w:val="center"/>
              <w:textAlignment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无锡市湖滨建设工程检测有限公司</w:t>
            </w:r>
          </w:p>
        </w:tc>
        <w:tc>
          <w:tcPr>
            <w:tcW w:w="1896" w:type="dxa"/>
            <w:gridSpan w:val="2"/>
            <w:tcBorders>
              <w:top w:val="single" w:color="auto" w:sz="4" w:space="0"/>
              <w:left w:val="nil"/>
              <w:bottom w:val="single" w:color="auto" w:sz="4" w:space="0"/>
              <w:right w:val="single" w:color="auto" w:sz="4" w:space="0"/>
            </w:tcBorders>
            <w:vAlign w:val="center"/>
          </w:tcPr>
          <w:p w14:paraId="14C56D1E">
            <w:pPr>
              <w:widowControl/>
              <w:textAlignment w:val="center"/>
              <w:rPr>
                <w:rFonts w:hint="eastAsia"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备案类-苏建备字第B014号、见证与主体类-苏建检字第B014AC号</w:t>
            </w:r>
          </w:p>
        </w:tc>
        <w:tc>
          <w:tcPr>
            <w:tcW w:w="2345" w:type="dxa"/>
            <w:gridSpan w:val="2"/>
            <w:tcBorders>
              <w:top w:val="nil"/>
              <w:left w:val="nil"/>
              <w:bottom w:val="single" w:color="auto" w:sz="4" w:space="0"/>
              <w:right w:val="single" w:color="auto" w:sz="4" w:space="0"/>
            </w:tcBorders>
            <w:vAlign w:val="center"/>
          </w:tcPr>
          <w:p w14:paraId="67F2F0BD">
            <w:pPr>
              <w:snapToGrid w:val="0"/>
              <w:jc w:val="center"/>
              <w:rPr>
                <w:rFonts w:asciiTheme="minorEastAsia" w:hAnsiTheme="minorEastAsia" w:eastAsiaTheme="minorEastAsia"/>
                <w:color w:val="000000"/>
                <w:kern w:val="0"/>
                <w:sz w:val="21"/>
                <w:szCs w:val="21"/>
              </w:rPr>
            </w:pPr>
            <w:r>
              <w:rPr>
                <w:rFonts w:asciiTheme="minorEastAsia" w:hAnsiTheme="minorEastAsia" w:eastAsiaTheme="minorEastAsia"/>
                <w:color w:val="000000"/>
                <w:kern w:val="0"/>
                <w:sz w:val="21"/>
                <w:szCs w:val="21"/>
              </w:rPr>
              <w:t>91320211767381312L</w:t>
            </w:r>
          </w:p>
        </w:tc>
        <w:tc>
          <w:tcPr>
            <w:tcW w:w="2240" w:type="dxa"/>
            <w:tcBorders>
              <w:top w:val="nil"/>
              <w:left w:val="single" w:color="auto" w:sz="4" w:space="0"/>
              <w:bottom w:val="single" w:color="auto" w:sz="4" w:space="0"/>
              <w:right w:val="single" w:color="auto" w:sz="4" w:space="0"/>
            </w:tcBorders>
            <w:vAlign w:val="center"/>
          </w:tcPr>
          <w:p w14:paraId="1A4761BE">
            <w:pPr>
              <w:widowControl/>
              <w:jc w:val="center"/>
              <w:textAlignment w:val="center"/>
              <w:rPr>
                <w:rFonts w:cs="宋体" w:asciiTheme="minorEastAsia" w:hAnsiTheme="minorEastAsia" w:eastAsiaTheme="minorEastAsia"/>
                <w:color w:val="000000"/>
                <w:kern w:val="0"/>
                <w:sz w:val="21"/>
                <w:szCs w:val="21"/>
              </w:rPr>
            </w:pPr>
            <w:r>
              <w:rPr>
                <w:rFonts w:hint="eastAsia" w:asciiTheme="minorEastAsia" w:hAnsiTheme="minorEastAsia" w:eastAsiaTheme="minorEastAsia"/>
                <w:color w:val="000000"/>
                <w:kern w:val="0"/>
                <w:sz w:val="21"/>
                <w:szCs w:val="21"/>
              </w:rPr>
              <w:t>陈蕾</w:t>
            </w:r>
          </w:p>
        </w:tc>
      </w:tr>
      <w:tr w14:paraId="5EFBEFBD">
        <w:tblPrEx>
          <w:tblCellMar>
            <w:top w:w="0" w:type="dxa"/>
            <w:left w:w="108" w:type="dxa"/>
            <w:bottom w:w="0" w:type="dxa"/>
            <w:right w:w="108" w:type="dxa"/>
          </w:tblCellMar>
        </w:tblPrEx>
        <w:trPr>
          <w:trHeight w:val="987" w:hRule="atLeast"/>
          <w:jc w:val="center"/>
        </w:trPr>
        <w:tc>
          <w:tcPr>
            <w:tcW w:w="1410" w:type="dxa"/>
            <w:tcBorders>
              <w:top w:val="single" w:color="auto" w:sz="4" w:space="0"/>
              <w:left w:val="single" w:color="auto" w:sz="4" w:space="0"/>
              <w:bottom w:val="single" w:color="auto" w:sz="4" w:space="0"/>
              <w:right w:val="single" w:color="auto" w:sz="4" w:space="0"/>
            </w:tcBorders>
            <w:vAlign w:val="center"/>
          </w:tcPr>
          <w:p w14:paraId="3EA0A1E1">
            <w:pPr>
              <w:widowControl/>
              <w:jc w:val="center"/>
              <w:textAlignment w:val="center"/>
              <w:rPr>
                <w:rFonts w:cs="宋体" w:asciiTheme="minorEastAsia" w:hAnsiTheme="minorEastAsia" w:eastAsiaTheme="minorEastAsia"/>
                <w:color w:val="000000"/>
                <w:sz w:val="24"/>
                <w:szCs w:val="24"/>
              </w:rPr>
            </w:pPr>
            <w:r>
              <w:rPr>
                <w:rFonts w:hint="eastAsia" w:cs="宋体" w:asciiTheme="minorEastAsia" w:hAnsiTheme="minorEastAsia" w:eastAsiaTheme="minorEastAsia"/>
                <w:color w:val="000000"/>
                <w:kern w:val="0"/>
                <w:sz w:val="21"/>
                <w:szCs w:val="21"/>
              </w:rPr>
              <w:t>预拌混凝土单位</w:t>
            </w:r>
          </w:p>
        </w:tc>
        <w:tc>
          <w:tcPr>
            <w:tcW w:w="2043" w:type="dxa"/>
            <w:gridSpan w:val="3"/>
            <w:tcBorders>
              <w:top w:val="single" w:color="auto" w:sz="4" w:space="0"/>
              <w:left w:val="nil"/>
              <w:bottom w:val="single" w:color="auto" w:sz="4" w:space="0"/>
              <w:right w:val="single" w:color="auto" w:sz="4" w:space="0"/>
            </w:tcBorders>
            <w:vAlign w:val="center"/>
          </w:tcPr>
          <w:p w14:paraId="7348FCB6">
            <w:pPr>
              <w:widowControl/>
              <w:jc w:val="center"/>
              <w:textAlignment w:val="center"/>
              <w:rPr>
                <w:rFonts w:hint="eastAsia"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无锡恒基商品混凝土有限公司</w:t>
            </w:r>
          </w:p>
        </w:tc>
        <w:tc>
          <w:tcPr>
            <w:tcW w:w="1896" w:type="dxa"/>
            <w:gridSpan w:val="2"/>
            <w:tcBorders>
              <w:top w:val="single" w:color="auto" w:sz="4" w:space="0"/>
              <w:left w:val="nil"/>
              <w:bottom w:val="single" w:color="auto" w:sz="4" w:space="0"/>
              <w:right w:val="single" w:color="auto" w:sz="4" w:space="0"/>
            </w:tcBorders>
            <w:vAlign w:val="center"/>
          </w:tcPr>
          <w:p w14:paraId="50794DFF">
            <w:pPr>
              <w:widowControl/>
              <w:jc w:val="center"/>
              <w:textAlignment w:val="center"/>
              <w:rPr>
                <w:rFonts w:cs="宋体" w:asciiTheme="minorEastAsia" w:hAnsiTheme="minorEastAsia" w:eastAsiaTheme="minorEastAsia"/>
                <w:color w:val="000000"/>
                <w:kern w:val="0"/>
                <w:sz w:val="21"/>
                <w:szCs w:val="21"/>
              </w:rPr>
            </w:pPr>
            <w:r>
              <w:rPr>
                <w:rFonts w:asciiTheme="minorEastAsia" w:hAnsiTheme="minorEastAsia" w:eastAsiaTheme="minorEastAsia"/>
                <w:color w:val="000000"/>
                <w:kern w:val="0"/>
                <w:sz w:val="21"/>
                <w:szCs w:val="21"/>
              </w:rPr>
              <w:t>/</w:t>
            </w:r>
          </w:p>
        </w:tc>
        <w:tc>
          <w:tcPr>
            <w:tcW w:w="2345" w:type="dxa"/>
            <w:gridSpan w:val="2"/>
            <w:tcBorders>
              <w:top w:val="nil"/>
              <w:left w:val="nil"/>
              <w:bottom w:val="single" w:color="auto" w:sz="4" w:space="0"/>
              <w:right w:val="single" w:color="auto" w:sz="4" w:space="0"/>
            </w:tcBorders>
            <w:vAlign w:val="center"/>
          </w:tcPr>
          <w:p w14:paraId="270F0352">
            <w:pPr>
              <w:snapToGrid w:val="0"/>
              <w:jc w:val="center"/>
              <w:rPr>
                <w:rFonts w:asciiTheme="minorEastAsia" w:hAnsiTheme="minorEastAsia" w:eastAsiaTheme="minorEastAsia"/>
                <w:color w:val="FF0000"/>
                <w:kern w:val="0"/>
                <w:sz w:val="21"/>
                <w:szCs w:val="21"/>
              </w:rPr>
            </w:pPr>
            <w:r>
              <w:rPr>
                <w:rFonts w:asciiTheme="minorEastAsia" w:hAnsiTheme="minorEastAsia" w:eastAsiaTheme="minorEastAsia"/>
                <w:color w:val="000000"/>
                <w:kern w:val="0"/>
                <w:sz w:val="21"/>
                <w:szCs w:val="21"/>
              </w:rPr>
              <w:t>913202147437440514</w:t>
            </w:r>
          </w:p>
        </w:tc>
        <w:tc>
          <w:tcPr>
            <w:tcW w:w="2240" w:type="dxa"/>
            <w:tcBorders>
              <w:top w:val="nil"/>
              <w:left w:val="single" w:color="auto" w:sz="4" w:space="0"/>
              <w:bottom w:val="single" w:color="auto" w:sz="4" w:space="0"/>
              <w:right w:val="single" w:color="auto" w:sz="4" w:space="0"/>
            </w:tcBorders>
            <w:vAlign w:val="center"/>
          </w:tcPr>
          <w:p w14:paraId="5EE2A4D0">
            <w:pPr>
              <w:widowControl/>
              <w:jc w:val="center"/>
              <w:textAlignment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朱晓军</w:t>
            </w:r>
          </w:p>
        </w:tc>
      </w:tr>
      <w:tr w14:paraId="2C6815E3">
        <w:tblPrEx>
          <w:tblCellMar>
            <w:top w:w="0" w:type="dxa"/>
            <w:left w:w="108" w:type="dxa"/>
            <w:bottom w:w="0" w:type="dxa"/>
            <w:right w:w="108" w:type="dxa"/>
          </w:tblCellMar>
        </w:tblPrEx>
        <w:trPr>
          <w:trHeight w:val="2471" w:hRule="atLeast"/>
          <w:jc w:val="center"/>
        </w:trPr>
        <w:tc>
          <w:tcPr>
            <w:tcW w:w="1976" w:type="dxa"/>
            <w:gridSpan w:val="3"/>
            <w:tcBorders>
              <w:top w:val="single" w:color="auto" w:sz="4" w:space="0"/>
              <w:left w:val="single" w:color="auto" w:sz="4" w:space="0"/>
              <w:bottom w:val="single" w:color="auto" w:sz="4" w:space="0"/>
              <w:right w:val="single" w:color="auto" w:sz="4" w:space="0"/>
            </w:tcBorders>
            <w:vAlign w:val="center"/>
          </w:tcPr>
          <w:p w14:paraId="63375716">
            <w:pPr>
              <w:snapToGrid w:val="0"/>
              <w:jc w:val="center"/>
              <w:rPr>
                <w:rFonts w:cs="宋体" w:asciiTheme="minorEastAsia" w:hAnsiTheme="minorEastAsia" w:eastAsiaTheme="minorEastAsia"/>
                <w:color w:val="000000"/>
                <w:kern w:val="0"/>
                <w:sz w:val="21"/>
                <w:szCs w:val="21"/>
              </w:rPr>
            </w:pPr>
            <w:r>
              <w:rPr>
                <w:rFonts w:hint="eastAsia" w:cs="宋体" w:asciiTheme="minorEastAsia" w:hAnsiTheme="minorEastAsia" w:eastAsiaTheme="minorEastAsia"/>
                <w:color w:val="000000"/>
                <w:kern w:val="0"/>
                <w:sz w:val="21"/>
                <w:szCs w:val="21"/>
              </w:rPr>
              <w:t>施工工期及交付日期信息</w:t>
            </w:r>
          </w:p>
        </w:tc>
        <w:tc>
          <w:tcPr>
            <w:tcW w:w="7958" w:type="dxa"/>
            <w:gridSpan w:val="6"/>
            <w:tcBorders>
              <w:top w:val="single" w:color="auto" w:sz="4" w:space="0"/>
              <w:left w:val="nil"/>
              <w:bottom w:val="single" w:color="auto" w:sz="4" w:space="0"/>
              <w:right w:val="single" w:color="auto" w:sz="4" w:space="0"/>
            </w:tcBorders>
            <w:vAlign w:val="center"/>
          </w:tcPr>
          <w:p w14:paraId="6FF28D42">
            <w:pPr>
              <w:snapToGrid w:val="0"/>
              <w:rPr>
                <w:rFonts w:asciiTheme="minorEastAsia" w:hAnsiTheme="minorEastAsia" w:eastAsiaTheme="minorEastAsia"/>
                <w:color w:val="000000"/>
                <w:kern w:val="0"/>
                <w:sz w:val="21"/>
                <w:szCs w:val="21"/>
              </w:rPr>
            </w:pPr>
            <w:r>
              <w:rPr>
                <w:rFonts w:hint="eastAsia" w:asciiTheme="minorEastAsia" w:hAnsiTheme="minorEastAsia" w:eastAsiaTheme="minorEastAsia"/>
                <w:color w:val="000000"/>
                <w:kern w:val="0"/>
                <w:sz w:val="21"/>
                <w:szCs w:val="21"/>
              </w:rPr>
              <w:t>土建工程起始日：20</w:t>
            </w:r>
            <w:r>
              <w:rPr>
                <w:rFonts w:asciiTheme="minorEastAsia" w:hAnsiTheme="minorEastAsia" w:eastAsiaTheme="minorEastAsia"/>
                <w:color w:val="000000"/>
                <w:kern w:val="0"/>
                <w:sz w:val="21"/>
                <w:szCs w:val="21"/>
              </w:rPr>
              <w:t>25</w:t>
            </w:r>
            <w:r>
              <w:rPr>
                <w:rFonts w:hint="eastAsia" w:asciiTheme="minorEastAsia" w:hAnsiTheme="minorEastAsia" w:eastAsiaTheme="minorEastAsia"/>
                <w:color w:val="000000"/>
                <w:kern w:val="0"/>
                <w:sz w:val="21"/>
                <w:szCs w:val="21"/>
              </w:rPr>
              <w:t>年</w:t>
            </w:r>
            <w:r>
              <w:rPr>
                <w:rFonts w:asciiTheme="minorEastAsia" w:hAnsiTheme="minorEastAsia" w:eastAsiaTheme="minorEastAsia"/>
                <w:color w:val="000000"/>
                <w:kern w:val="0"/>
                <w:sz w:val="21"/>
                <w:szCs w:val="21"/>
              </w:rPr>
              <w:t>3</w:t>
            </w:r>
            <w:r>
              <w:rPr>
                <w:rFonts w:hint="eastAsia" w:asciiTheme="minorEastAsia" w:hAnsiTheme="minorEastAsia" w:eastAsiaTheme="minorEastAsia"/>
                <w:color w:val="000000"/>
                <w:kern w:val="0"/>
                <w:sz w:val="21"/>
                <w:szCs w:val="21"/>
              </w:rPr>
              <w:t>月</w:t>
            </w:r>
            <w:r>
              <w:rPr>
                <w:rFonts w:asciiTheme="minorEastAsia" w:hAnsiTheme="minorEastAsia" w:eastAsiaTheme="minorEastAsia"/>
                <w:color w:val="000000"/>
                <w:kern w:val="0"/>
                <w:sz w:val="21"/>
                <w:szCs w:val="21"/>
              </w:rPr>
              <w:t>21</w:t>
            </w:r>
            <w:r>
              <w:rPr>
                <w:rFonts w:hint="eastAsia" w:asciiTheme="minorEastAsia" w:hAnsiTheme="minorEastAsia" w:eastAsiaTheme="minorEastAsia"/>
                <w:color w:val="000000"/>
                <w:kern w:val="0"/>
                <w:sz w:val="21"/>
                <w:szCs w:val="21"/>
              </w:rPr>
              <w:t>日至2</w:t>
            </w:r>
            <w:r>
              <w:rPr>
                <w:rFonts w:asciiTheme="minorEastAsia" w:hAnsiTheme="minorEastAsia" w:eastAsiaTheme="minorEastAsia"/>
                <w:color w:val="000000"/>
                <w:kern w:val="0"/>
                <w:sz w:val="21"/>
                <w:szCs w:val="21"/>
              </w:rPr>
              <w:t>026</w:t>
            </w:r>
            <w:r>
              <w:rPr>
                <w:rFonts w:hint="eastAsia" w:asciiTheme="minorEastAsia" w:hAnsiTheme="minorEastAsia" w:eastAsiaTheme="minorEastAsia"/>
                <w:color w:val="000000"/>
                <w:kern w:val="0"/>
                <w:sz w:val="21"/>
                <w:szCs w:val="21"/>
              </w:rPr>
              <w:t>年</w:t>
            </w:r>
            <w:r>
              <w:rPr>
                <w:rFonts w:asciiTheme="minorEastAsia" w:hAnsiTheme="minorEastAsia" w:eastAsiaTheme="minorEastAsia"/>
                <w:color w:val="000000"/>
                <w:kern w:val="0"/>
                <w:sz w:val="21"/>
                <w:szCs w:val="21"/>
              </w:rPr>
              <w:t>10</w:t>
            </w:r>
            <w:r>
              <w:rPr>
                <w:rFonts w:hint="eastAsia" w:asciiTheme="minorEastAsia" w:hAnsiTheme="minorEastAsia" w:eastAsiaTheme="minorEastAsia"/>
                <w:color w:val="000000"/>
                <w:kern w:val="0"/>
                <w:sz w:val="21"/>
                <w:szCs w:val="21"/>
              </w:rPr>
              <w:t>月3</w:t>
            </w:r>
            <w:r>
              <w:rPr>
                <w:rFonts w:asciiTheme="minorEastAsia" w:hAnsiTheme="minorEastAsia" w:eastAsiaTheme="minorEastAsia"/>
                <w:color w:val="000000"/>
                <w:kern w:val="0"/>
                <w:sz w:val="21"/>
                <w:szCs w:val="21"/>
              </w:rPr>
              <w:t>1</w:t>
            </w:r>
            <w:r>
              <w:rPr>
                <w:rFonts w:hint="eastAsia" w:asciiTheme="minorEastAsia" w:hAnsiTheme="minorEastAsia" w:eastAsiaTheme="minorEastAsia"/>
                <w:color w:val="000000"/>
                <w:kern w:val="0"/>
                <w:sz w:val="21"/>
                <w:szCs w:val="21"/>
              </w:rPr>
              <w:t>日，工期:</w:t>
            </w:r>
            <w:r>
              <w:rPr>
                <w:rFonts w:asciiTheme="minorEastAsia" w:hAnsiTheme="minorEastAsia" w:eastAsiaTheme="minorEastAsia"/>
                <w:color w:val="000000"/>
                <w:kern w:val="0"/>
                <w:sz w:val="21"/>
                <w:szCs w:val="21"/>
              </w:rPr>
              <w:t>589</w:t>
            </w:r>
            <w:r>
              <w:rPr>
                <w:rFonts w:hint="eastAsia" w:asciiTheme="minorEastAsia" w:hAnsiTheme="minorEastAsia" w:eastAsiaTheme="minorEastAsia"/>
                <w:color w:val="000000"/>
                <w:kern w:val="0"/>
                <w:sz w:val="21"/>
                <w:szCs w:val="21"/>
              </w:rPr>
              <w:t>天；</w:t>
            </w:r>
          </w:p>
          <w:p w14:paraId="34624575">
            <w:pPr>
              <w:snapToGrid w:val="0"/>
              <w:rPr>
                <w:rFonts w:asciiTheme="minorEastAsia" w:hAnsiTheme="minorEastAsia" w:eastAsiaTheme="minorEastAsia"/>
                <w:color w:val="000000"/>
                <w:kern w:val="0"/>
                <w:sz w:val="21"/>
                <w:szCs w:val="21"/>
              </w:rPr>
            </w:pPr>
            <w:r>
              <w:rPr>
                <w:rFonts w:hint="eastAsia" w:asciiTheme="minorEastAsia" w:hAnsiTheme="minorEastAsia" w:eastAsiaTheme="minorEastAsia"/>
                <w:color w:val="000000"/>
                <w:kern w:val="0"/>
                <w:sz w:val="21"/>
                <w:szCs w:val="21"/>
              </w:rPr>
              <w:t>安装工程起始日：20</w:t>
            </w:r>
            <w:r>
              <w:rPr>
                <w:rFonts w:asciiTheme="minorEastAsia" w:hAnsiTheme="minorEastAsia" w:eastAsiaTheme="minorEastAsia"/>
                <w:color w:val="000000"/>
                <w:kern w:val="0"/>
                <w:sz w:val="21"/>
                <w:szCs w:val="21"/>
              </w:rPr>
              <w:t>25</w:t>
            </w:r>
            <w:r>
              <w:rPr>
                <w:rFonts w:hint="eastAsia" w:asciiTheme="minorEastAsia" w:hAnsiTheme="minorEastAsia" w:eastAsiaTheme="minorEastAsia"/>
                <w:color w:val="000000"/>
                <w:kern w:val="0"/>
                <w:sz w:val="21"/>
                <w:szCs w:val="21"/>
              </w:rPr>
              <w:t>年</w:t>
            </w:r>
            <w:r>
              <w:rPr>
                <w:rFonts w:asciiTheme="minorEastAsia" w:hAnsiTheme="minorEastAsia" w:eastAsiaTheme="minorEastAsia"/>
                <w:color w:val="000000"/>
                <w:kern w:val="0"/>
                <w:sz w:val="21"/>
                <w:szCs w:val="21"/>
              </w:rPr>
              <w:t>3</w:t>
            </w:r>
            <w:r>
              <w:rPr>
                <w:rFonts w:hint="eastAsia" w:asciiTheme="minorEastAsia" w:hAnsiTheme="minorEastAsia" w:eastAsiaTheme="minorEastAsia"/>
                <w:color w:val="000000"/>
                <w:kern w:val="0"/>
                <w:sz w:val="21"/>
                <w:szCs w:val="21"/>
              </w:rPr>
              <w:t>月</w:t>
            </w:r>
            <w:r>
              <w:rPr>
                <w:rFonts w:asciiTheme="minorEastAsia" w:hAnsiTheme="minorEastAsia" w:eastAsiaTheme="minorEastAsia"/>
                <w:color w:val="000000"/>
                <w:kern w:val="0"/>
                <w:sz w:val="21"/>
                <w:szCs w:val="21"/>
              </w:rPr>
              <w:t>21</w:t>
            </w:r>
            <w:r>
              <w:rPr>
                <w:rFonts w:hint="eastAsia" w:asciiTheme="minorEastAsia" w:hAnsiTheme="minorEastAsia" w:eastAsiaTheme="minorEastAsia"/>
                <w:color w:val="000000"/>
                <w:kern w:val="0"/>
                <w:sz w:val="21"/>
                <w:szCs w:val="21"/>
              </w:rPr>
              <w:t>日至2</w:t>
            </w:r>
            <w:r>
              <w:rPr>
                <w:rFonts w:asciiTheme="minorEastAsia" w:hAnsiTheme="minorEastAsia" w:eastAsiaTheme="minorEastAsia"/>
                <w:color w:val="000000"/>
                <w:kern w:val="0"/>
                <w:sz w:val="21"/>
                <w:szCs w:val="21"/>
              </w:rPr>
              <w:t>026</w:t>
            </w:r>
            <w:r>
              <w:rPr>
                <w:rFonts w:hint="eastAsia" w:asciiTheme="minorEastAsia" w:hAnsiTheme="minorEastAsia" w:eastAsiaTheme="minorEastAsia"/>
                <w:color w:val="000000"/>
                <w:kern w:val="0"/>
                <w:sz w:val="21"/>
                <w:szCs w:val="21"/>
              </w:rPr>
              <w:t>年</w:t>
            </w:r>
            <w:r>
              <w:rPr>
                <w:rFonts w:asciiTheme="minorEastAsia" w:hAnsiTheme="minorEastAsia" w:eastAsiaTheme="minorEastAsia"/>
                <w:color w:val="000000"/>
                <w:kern w:val="0"/>
                <w:sz w:val="21"/>
                <w:szCs w:val="21"/>
              </w:rPr>
              <w:t>10</w:t>
            </w:r>
            <w:r>
              <w:rPr>
                <w:rFonts w:hint="eastAsia" w:asciiTheme="minorEastAsia" w:hAnsiTheme="minorEastAsia" w:eastAsiaTheme="minorEastAsia"/>
                <w:color w:val="000000"/>
                <w:kern w:val="0"/>
                <w:sz w:val="21"/>
                <w:szCs w:val="21"/>
              </w:rPr>
              <w:t>月</w:t>
            </w:r>
            <w:r>
              <w:rPr>
                <w:rFonts w:asciiTheme="minorEastAsia" w:hAnsiTheme="minorEastAsia" w:eastAsiaTheme="minorEastAsia"/>
                <w:color w:val="000000"/>
                <w:kern w:val="0"/>
                <w:sz w:val="21"/>
                <w:szCs w:val="21"/>
              </w:rPr>
              <w:t>31</w:t>
            </w:r>
            <w:r>
              <w:rPr>
                <w:rFonts w:hint="eastAsia" w:asciiTheme="minorEastAsia" w:hAnsiTheme="minorEastAsia" w:eastAsiaTheme="minorEastAsia"/>
                <w:color w:val="000000"/>
                <w:kern w:val="0"/>
                <w:sz w:val="21"/>
                <w:szCs w:val="21"/>
              </w:rPr>
              <w:t>日，工期:</w:t>
            </w:r>
            <w:r>
              <w:rPr>
                <w:rFonts w:asciiTheme="minorEastAsia" w:hAnsiTheme="minorEastAsia" w:eastAsiaTheme="minorEastAsia"/>
                <w:color w:val="000000"/>
                <w:kern w:val="0"/>
                <w:sz w:val="21"/>
                <w:szCs w:val="21"/>
              </w:rPr>
              <w:t>589</w:t>
            </w:r>
            <w:r>
              <w:rPr>
                <w:rFonts w:hint="eastAsia" w:asciiTheme="minorEastAsia" w:hAnsiTheme="minorEastAsia" w:eastAsiaTheme="minorEastAsia"/>
                <w:color w:val="000000"/>
                <w:kern w:val="0"/>
                <w:sz w:val="21"/>
                <w:szCs w:val="21"/>
              </w:rPr>
              <w:t>天；</w:t>
            </w:r>
          </w:p>
          <w:p w14:paraId="4F2A4796">
            <w:pPr>
              <w:snapToGrid w:val="0"/>
              <w:rPr>
                <w:rFonts w:asciiTheme="minorEastAsia" w:hAnsiTheme="minorEastAsia" w:eastAsiaTheme="minorEastAsia"/>
                <w:color w:val="000000"/>
                <w:kern w:val="0"/>
                <w:sz w:val="21"/>
                <w:szCs w:val="21"/>
              </w:rPr>
            </w:pPr>
            <w:r>
              <w:rPr>
                <w:rFonts w:hint="eastAsia" w:asciiTheme="minorEastAsia" w:hAnsiTheme="minorEastAsia" w:eastAsiaTheme="minorEastAsia"/>
                <w:color w:val="000000"/>
                <w:kern w:val="0"/>
                <w:sz w:val="21"/>
                <w:szCs w:val="21"/>
              </w:rPr>
              <w:t>装修工程起始日：20</w:t>
            </w:r>
            <w:r>
              <w:rPr>
                <w:rFonts w:asciiTheme="minorEastAsia" w:hAnsiTheme="minorEastAsia" w:eastAsiaTheme="minorEastAsia"/>
                <w:color w:val="000000"/>
                <w:kern w:val="0"/>
                <w:sz w:val="21"/>
                <w:szCs w:val="21"/>
              </w:rPr>
              <w:t>26</w:t>
            </w:r>
            <w:r>
              <w:rPr>
                <w:rFonts w:hint="eastAsia" w:asciiTheme="minorEastAsia" w:hAnsiTheme="minorEastAsia" w:eastAsiaTheme="minorEastAsia"/>
                <w:color w:val="000000"/>
                <w:kern w:val="0"/>
                <w:sz w:val="21"/>
                <w:szCs w:val="21"/>
              </w:rPr>
              <w:t>年</w:t>
            </w:r>
            <w:r>
              <w:rPr>
                <w:rFonts w:asciiTheme="minorEastAsia" w:hAnsiTheme="minorEastAsia" w:eastAsiaTheme="minorEastAsia"/>
                <w:color w:val="000000"/>
                <w:kern w:val="0"/>
                <w:sz w:val="21"/>
                <w:szCs w:val="21"/>
              </w:rPr>
              <w:t>7</w:t>
            </w:r>
            <w:r>
              <w:rPr>
                <w:rFonts w:hint="eastAsia" w:asciiTheme="minorEastAsia" w:hAnsiTheme="minorEastAsia" w:eastAsiaTheme="minorEastAsia"/>
                <w:color w:val="000000"/>
                <w:kern w:val="0"/>
                <w:sz w:val="21"/>
                <w:szCs w:val="21"/>
              </w:rPr>
              <w:t>月</w:t>
            </w:r>
            <w:r>
              <w:rPr>
                <w:rFonts w:asciiTheme="minorEastAsia" w:hAnsiTheme="minorEastAsia" w:eastAsiaTheme="minorEastAsia"/>
                <w:color w:val="000000"/>
                <w:kern w:val="0"/>
                <w:sz w:val="21"/>
                <w:szCs w:val="21"/>
              </w:rPr>
              <w:t>1</w:t>
            </w:r>
            <w:r>
              <w:rPr>
                <w:rFonts w:hint="eastAsia" w:asciiTheme="minorEastAsia" w:hAnsiTheme="minorEastAsia" w:eastAsiaTheme="minorEastAsia"/>
                <w:color w:val="000000"/>
                <w:kern w:val="0"/>
                <w:sz w:val="21"/>
                <w:szCs w:val="21"/>
              </w:rPr>
              <w:t>日（暂定）至2</w:t>
            </w:r>
            <w:r>
              <w:rPr>
                <w:rFonts w:asciiTheme="minorEastAsia" w:hAnsiTheme="minorEastAsia" w:eastAsiaTheme="minorEastAsia"/>
                <w:color w:val="000000"/>
                <w:kern w:val="0"/>
                <w:sz w:val="21"/>
                <w:szCs w:val="21"/>
              </w:rPr>
              <w:t>027</w:t>
            </w:r>
            <w:r>
              <w:rPr>
                <w:rFonts w:hint="eastAsia" w:asciiTheme="minorEastAsia" w:hAnsiTheme="minorEastAsia" w:eastAsiaTheme="minorEastAsia"/>
                <w:color w:val="000000"/>
                <w:kern w:val="0"/>
                <w:sz w:val="21"/>
                <w:szCs w:val="21"/>
              </w:rPr>
              <w:t>年</w:t>
            </w:r>
            <w:r>
              <w:rPr>
                <w:rFonts w:asciiTheme="minorEastAsia" w:hAnsiTheme="minorEastAsia" w:eastAsiaTheme="minorEastAsia"/>
                <w:color w:val="000000"/>
                <w:kern w:val="0"/>
                <w:sz w:val="21"/>
                <w:szCs w:val="21"/>
              </w:rPr>
              <w:t>6</w:t>
            </w:r>
            <w:r>
              <w:rPr>
                <w:rFonts w:hint="eastAsia" w:asciiTheme="minorEastAsia" w:hAnsiTheme="minorEastAsia" w:eastAsiaTheme="minorEastAsia"/>
                <w:color w:val="000000"/>
                <w:kern w:val="0"/>
                <w:sz w:val="21"/>
                <w:szCs w:val="21"/>
              </w:rPr>
              <w:t>月3</w:t>
            </w:r>
            <w:r>
              <w:rPr>
                <w:rFonts w:asciiTheme="minorEastAsia" w:hAnsiTheme="minorEastAsia" w:eastAsiaTheme="minorEastAsia"/>
                <w:color w:val="000000"/>
                <w:kern w:val="0"/>
                <w:sz w:val="21"/>
                <w:szCs w:val="21"/>
              </w:rPr>
              <w:t>0</w:t>
            </w:r>
            <w:r>
              <w:rPr>
                <w:rFonts w:hint="eastAsia" w:asciiTheme="minorEastAsia" w:hAnsiTheme="minorEastAsia" w:eastAsiaTheme="minorEastAsia"/>
                <w:color w:val="000000"/>
                <w:kern w:val="0"/>
                <w:sz w:val="21"/>
                <w:szCs w:val="21"/>
              </w:rPr>
              <w:t>日，工期：</w:t>
            </w:r>
            <w:r>
              <w:rPr>
                <w:rFonts w:asciiTheme="minorEastAsia" w:hAnsiTheme="minorEastAsia" w:eastAsiaTheme="minorEastAsia"/>
                <w:color w:val="000000"/>
                <w:kern w:val="0"/>
                <w:sz w:val="21"/>
                <w:szCs w:val="21"/>
              </w:rPr>
              <w:t>364</w:t>
            </w:r>
            <w:r>
              <w:rPr>
                <w:rFonts w:hint="eastAsia" w:asciiTheme="minorEastAsia" w:hAnsiTheme="minorEastAsia" w:eastAsiaTheme="minorEastAsia"/>
                <w:color w:val="000000"/>
                <w:kern w:val="0"/>
                <w:sz w:val="21"/>
                <w:szCs w:val="21"/>
              </w:rPr>
              <w:t>天（暂定）；</w:t>
            </w:r>
          </w:p>
          <w:p w14:paraId="01AE3B5D">
            <w:pPr>
              <w:snapToGrid w:val="0"/>
              <w:rPr>
                <w:rFonts w:asciiTheme="minorEastAsia" w:hAnsiTheme="minorEastAsia" w:eastAsiaTheme="minorEastAsia"/>
                <w:color w:val="000000"/>
                <w:kern w:val="0"/>
                <w:sz w:val="21"/>
                <w:szCs w:val="21"/>
              </w:rPr>
            </w:pPr>
            <w:r>
              <w:rPr>
                <w:rFonts w:asciiTheme="minorEastAsia" w:hAnsiTheme="minorEastAsia" w:eastAsiaTheme="minorEastAsia"/>
                <w:color w:val="000000"/>
                <w:kern w:val="0"/>
                <w:sz w:val="21"/>
                <w:szCs w:val="21"/>
              </w:rPr>
              <w:t>商品房交付日期：2027</w:t>
            </w:r>
            <w:r>
              <w:rPr>
                <w:rFonts w:hint="eastAsia" w:asciiTheme="minorEastAsia" w:hAnsiTheme="minorEastAsia" w:eastAsiaTheme="minorEastAsia"/>
                <w:color w:val="000000"/>
                <w:kern w:val="0"/>
                <w:sz w:val="21"/>
                <w:szCs w:val="21"/>
              </w:rPr>
              <w:t>年</w:t>
            </w:r>
            <w:r>
              <w:rPr>
                <w:rFonts w:asciiTheme="minorEastAsia" w:hAnsiTheme="minorEastAsia" w:eastAsiaTheme="minorEastAsia"/>
                <w:color w:val="000000"/>
                <w:kern w:val="0"/>
                <w:sz w:val="21"/>
                <w:szCs w:val="21"/>
              </w:rPr>
              <w:t>12</w:t>
            </w:r>
            <w:r>
              <w:rPr>
                <w:rFonts w:hint="eastAsia" w:asciiTheme="minorEastAsia" w:hAnsiTheme="minorEastAsia" w:eastAsiaTheme="minorEastAsia"/>
                <w:color w:val="000000"/>
                <w:kern w:val="0"/>
                <w:sz w:val="21"/>
                <w:szCs w:val="21"/>
              </w:rPr>
              <w:t>月</w:t>
            </w:r>
            <w:r>
              <w:rPr>
                <w:rFonts w:asciiTheme="minorEastAsia" w:hAnsiTheme="minorEastAsia" w:eastAsiaTheme="minorEastAsia"/>
                <w:color w:val="000000"/>
                <w:kern w:val="0"/>
                <w:sz w:val="21"/>
                <w:szCs w:val="21"/>
              </w:rPr>
              <w:t>31</w:t>
            </w:r>
            <w:r>
              <w:rPr>
                <w:rFonts w:hint="eastAsia" w:asciiTheme="minorEastAsia" w:hAnsiTheme="minorEastAsia" w:eastAsiaTheme="minorEastAsia"/>
                <w:color w:val="000000"/>
                <w:kern w:val="0"/>
                <w:sz w:val="21"/>
                <w:szCs w:val="21"/>
              </w:rPr>
              <w:t>日。</w:t>
            </w:r>
          </w:p>
        </w:tc>
      </w:tr>
    </w:tbl>
    <w:p w14:paraId="471403D4">
      <w:pPr>
        <w:snapToGrid w:val="0"/>
        <w:spacing w:before="156" w:beforeLines="50" w:after="156" w:afterLines="50"/>
        <w:jc w:val="left"/>
      </w:pPr>
    </w:p>
    <w:p w14:paraId="0BFF56D3">
      <w:pPr>
        <w:tabs>
          <w:tab w:val="left" w:pos="644"/>
        </w:tabs>
        <w:snapToGrid w:val="0"/>
        <w:spacing w:before="156" w:beforeLines="50" w:after="156" w:afterLines="50"/>
        <w:jc w:val="left"/>
        <w:rPr>
          <w:rFonts w:ascii="黑体" w:hAnsi="黑体" w:eastAsia="黑体" w:cs="宋体"/>
          <w:bCs/>
          <w:color w:val="000000"/>
          <w:kern w:val="0"/>
          <w:szCs w:val="32"/>
        </w:rPr>
      </w:pPr>
      <w:r>
        <w:br w:type="page"/>
      </w:r>
      <w:r>
        <w:rPr>
          <w:rFonts w:hint="eastAsia" w:ascii="黑体" w:hAnsi="黑体" w:eastAsia="黑体" w:cs="宋体"/>
          <w:bCs/>
          <w:color w:val="000000"/>
          <w:kern w:val="0"/>
          <w:szCs w:val="32"/>
        </w:rPr>
        <w:t>表二：</w:t>
      </w:r>
    </w:p>
    <w:p w14:paraId="43298BDE">
      <w:pPr>
        <w:tabs>
          <w:tab w:val="left" w:pos="644"/>
        </w:tabs>
        <w:snapToGrid w:val="0"/>
        <w:jc w:val="center"/>
        <w:rPr>
          <w:rFonts w:ascii="黑体" w:hAnsi="黑体" w:eastAsia="黑体" w:cs="宋体"/>
          <w:bCs/>
          <w:color w:val="000000"/>
          <w:kern w:val="0"/>
          <w:szCs w:val="32"/>
        </w:rPr>
      </w:pPr>
      <w:r>
        <w:rPr>
          <w:rFonts w:hint="eastAsia" w:ascii="黑体" w:hAnsi="黑体" w:eastAsia="黑体" w:cs="宋体"/>
          <w:bCs/>
          <w:color w:val="000000"/>
          <w:kern w:val="0"/>
          <w:szCs w:val="32"/>
        </w:rPr>
        <w:t>成品住房交付样板房</w:t>
      </w:r>
    </w:p>
    <w:tbl>
      <w:tblPr>
        <w:tblStyle w:val="6"/>
        <w:tblpPr w:leftFromText="180" w:rightFromText="180" w:vertAnchor="text" w:horzAnchor="margin" w:tblpXSpec="center" w:tblpY="3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2268"/>
        <w:gridCol w:w="2268"/>
        <w:gridCol w:w="2092"/>
      </w:tblGrid>
      <w:tr w14:paraId="5A659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2" w:hRule="atLeast"/>
        </w:trPr>
        <w:tc>
          <w:tcPr>
            <w:tcW w:w="2978" w:type="dxa"/>
            <w:vAlign w:val="center"/>
          </w:tcPr>
          <w:p w14:paraId="485B5DEF">
            <w:pPr>
              <w:adjustRightInd w:val="0"/>
              <w:snapToGrid w:val="0"/>
              <w:jc w:val="center"/>
              <w:rPr>
                <w:rFonts w:asciiTheme="minorEastAsia" w:hAnsiTheme="minorEastAsia" w:eastAsiaTheme="minorEastAsia" w:cstheme="minorBidi"/>
                <w:sz w:val="28"/>
                <w:szCs w:val="24"/>
              </w:rPr>
            </w:pPr>
            <w:r>
              <w:rPr>
                <w:rFonts w:hint="eastAsia" w:asciiTheme="minorEastAsia" w:hAnsiTheme="minorEastAsia" w:eastAsiaTheme="minorEastAsia" w:cstheme="minorBidi"/>
                <w:sz w:val="28"/>
                <w:szCs w:val="24"/>
              </w:rPr>
              <w:t>样板房位置</w:t>
            </w:r>
          </w:p>
        </w:tc>
        <w:tc>
          <w:tcPr>
            <w:tcW w:w="2268" w:type="dxa"/>
            <w:vAlign w:val="center"/>
          </w:tcPr>
          <w:p w14:paraId="663200E0">
            <w:pPr>
              <w:adjustRightInd w:val="0"/>
              <w:snapToGrid w:val="0"/>
              <w:jc w:val="center"/>
              <w:rPr>
                <w:rFonts w:asciiTheme="minorEastAsia" w:hAnsiTheme="minorEastAsia" w:eastAsiaTheme="minorEastAsia" w:cstheme="minorBidi"/>
                <w:sz w:val="28"/>
                <w:szCs w:val="24"/>
              </w:rPr>
            </w:pPr>
            <w:r>
              <w:rPr>
                <w:rFonts w:hint="eastAsia" w:asciiTheme="minorEastAsia" w:hAnsiTheme="minorEastAsia" w:eastAsiaTheme="minorEastAsia" w:cstheme="minorBidi"/>
                <w:sz w:val="28"/>
                <w:szCs w:val="24"/>
              </w:rPr>
              <w:t>户型</w:t>
            </w:r>
          </w:p>
        </w:tc>
        <w:tc>
          <w:tcPr>
            <w:tcW w:w="2268" w:type="dxa"/>
            <w:vAlign w:val="center"/>
          </w:tcPr>
          <w:p w14:paraId="6AE07655">
            <w:pPr>
              <w:adjustRightInd w:val="0"/>
              <w:snapToGrid w:val="0"/>
              <w:jc w:val="center"/>
              <w:rPr>
                <w:rFonts w:asciiTheme="minorEastAsia" w:hAnsiTheme="minorEastAsia" w:eastAsiaTheme="minorEastAsia" w:cstheme="minorBidi"/>
                <w:sz w:val="28"/>
                <w:szCs w:val="24"/>
              </w:rPr>
            </w:pPr>
            <w:r>
              <w:rPr>
                <w:rFonts w:hint="eastAsia" w:asciiTheme="minorEastAsia" w:hAnsiTheme="minorEastAsia" w:eastAsiaTheme="minorEastAsia" w:cstheme="minorBidi"/>
                <w:sz w:val="28"/>
                <w:szCs w:val="24"/>
              </w:rPr>
              <w:t>验收时间</w:t>
            </w:r>
          </w:p>
        </w:tc>
        <w:tc>
          <w:tcPr>
            <w:tcW w:w="2092" w:type="dxa"/>
            <w:vAlign w:val="center"/>
          </w:tcPr>
          <w:p w14:paraId="751C9C8F">
            <w:pPr>
              <w:adjustRightInd w:val="0"/>
              <w:snapToGrid w:val="0"/>
              <w:jc w:val="center"/>
              <w:rPr>
                <w:rFonts w:asciiTheme="minorEastAsia" w:hAnsiTheme="minorEastAsia" w:eastAsiaTheme="minorEastAsia" w:cstheme="minorBidi"/>
                <w:sz w:val="28"/>
                <w:szCs w:val="24"/>
              </w:rPr>
            </w:pPr>
            <w:r>
              <w:rPr>
                <w:rFonts w:hint="eastAsia" w:asciiTheme="minorEastAsia" w:hAnsiTheme="minorEastAsia" w:eastAsiaTheme="minorEastAsia" w:cstheme="minorBidi"/>
                <w:sz w:val="28"/>
                <w:szCs w:val="24"/>
              </w:rPr>
              <w:t>验收意见</w:t>
            </w:r>
          </w:p>
        </w:tc>
      </w:tr>
      <w:tr w14:paraId="235C6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7" w:hRule="atLeast"/>
        </w:trPr>
        <w:tc>
          <w:tcPr>
            <w:tcW w:w="2978" w:type="dxa"/>
            <w:vAlign w:val="center"/>
          </w:tcPr>
          <w:p w14:paraId="65EEDEE8">
            <w:pPr>
              <w:adjustRightInd w:val="0"/>
              <w:snapToGrid w:val="0"/>
              <w:jc w:val="center"/>
              <w:rPr>
                <w:rFonts w:asciiTheme="minorEastAsia" w:hAnsiTheme="minorEastAsia" w:eastAsiaTheme="minorEastAsia" w:cstheme="minorBidi"/>
                <w:sz w:val="28"/>
                <w:szCs w:val="24"/>
              </w:rPr>
            </w:pPr>
            <w:r>
              <w:rPr>
                <w:rFonts w:hint="eastAsia" w:asciiTheme="minorEastAsia" w:hAnsiTheme="minorEastAsia" w:eastAsiaTheme="minorEastAsia" w:cstheme="minorBidi"/>
                <w:sz w:val="28"/>
                <w:szCs w:val="24"/>
              </w:rPr>
              <w:t>2栋4单元</w:t>
            </w:r>
          </w:p>
        </w:tc>
        <w:tc>
          <w:tcPr>
            <w:tcW w:w="2268" w:type="dxa"/>
            <w:vAlign w:val="center"/>
          </w:tcPr>
          <w:p w14:paraId="2594105C">
            <w:pPr>
              <w:adjustRightInd w:val="0"/>
              <w:snapToGrid w:val="0"/>
              <w:jc w:val="center"/>
              <w:rPr>
                <w:rFonts w:asciiTheme="minorEastAsia" w:hAnsiTheme="minorEastAsia" w:eastAsiaTheme="minorEastAsia" w:cstheme="minorBidi"/>
                <w:sz w:val="28"/>
                <w:szCs w:val="24"/>
              </w:rPr>
            </w:pPr>
            <w:r>
              <w:rPr>
                <w:rFonts w:hint="eastAsia" w:asciiTheme="minorEastAsia" w:hAnsiTheme="minorEastAsia" w:eastAsiaTheme="minorEastAsia" w:cstheme="minorBidi"/>
                <w:sz w:val="28"/>
                <w:szCs w:val="24"/>
              </w:rPr>
              <w:t>145户型</w:t>
            </w:r>
          </w:p>
        </w:tc>
        <w:tc>
          <w:tcPr>
            <w:tcW w:w="2268" w:type="dxa"/>
            <w:vAlign w:val="center"/>
          </w:tcPr>
          <w:p w14:paraId="5A6EDD5D">
            <w:pPr>
              <w:adjustRightInd w:val="0"/>
              <w:snapToGrid w:val="0"/>
              <w:jc w:val="center"/>
              <w:rPr>
                <w:rFonts w:asciiTheme="minorEastAsia" w:hAnsiTheme="minorEastAsia" w:eastAsiaTheme="minorEastAsia" w:cstheme="minorBidi"/>
                <w:sz w:val="28"/>
                <w:szCs w:val="24"/>
              </w:rPr>
            </w:pPr>
          </w:p>
        </w:tc>
        <w:tc>
          <w:tcPr>
            <w:tcW w:w="2092" w:type="dxa"/>
            <w:vAlign w:val="center"/>
          </w:tcPr>
          <w:p w14:paraId="295DED1B">
            <w:pPr>
              <w:adjustRightInd w:val="0"/>
              <w:snapToGrid w:val="0"/>
              <w:jc w:val="center"/>
              <w:rPr>
                <w:rFonts w:asciiTheme="minorEastAsia" w:hAnsiTheme="minorEastAsia" w:eastAsiaTheme="minorEastAsia" w:cstheme="minorBidi"/>
                <w:sz w:val="28"/>
                <w:szCs w:val="24"/>
              </w:rPr>
            </w:pPr>
            <w:r>
              <w:rPr>
                <w:rFonts w:hint="eastAsia" w:asciiTheme="minorEastAsia" w:hAnsiTheme="minorEastAsia" w:eastAsiaTheme="minorEastAsia" w:cstheme="minorBidi"/>
                <w:sz w:val="28"/>
                <w:szCs w:val="24"/>
              </w:rPr>
              <w:t>合格</w:t>
            </w:r>
          </w:p>
        </w:tc>
      </w:tr>
      <w:tr w14:paraId="00069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2978" w:type="dxa"/>
            <w:vAlign w:val="center"/>
          </w:tcPr>
          <w:p w14:paraId="7FB8946C">
            <w:pPr>
              <w:adjustRightInd w:val="0"/>
              <w:snapToGrid w:val="0"/>
              <w:jc w:val="center"/>
              <w:rPr>
                <w:rFonts w:asciiTheme="minorEastAsia" w:hAnsiTheme="minorEastAsia" w:eastAsiaTheme="minorEastAsia" w:cstheme="minorBidi"/>
                <w:sz w:val="28"/>
                <w:szCs w:val="24"/>
              </w:rPr>
            </w:pPr>
          </w:p>
        </w:tc>
        <w:tc>
          <w:tcPr>
            <w:tcW w:w="2268" w:type="dxa"/>
            <w:vAlign w:val="center"/>
          </w:tcPr>
          <w:p w14:paraId="76F03B82">
            <w:pPr>
              <w:adjustRightInd w:val="0"/>
              <w:snapToGrid w:val="0"/>
              <w:jc w:val="center"/>
              <w:rPr>
                <w:rFonts w:asciiTheme="minorEastAsia" w:hAnsiTheme="minorEastAsia" w:eastAsiaTheme="minorEastAsia" w:cstheme="minorBidi"/>
                <w:sz w:val="28"/>
                <w:szCs w:val="24"/>
              </w:rPr>
            </w:pPr>
          </w:p>
        </w:tc>
        <w:tc>
          <w:tcPr>
            <w:tcW w:w="2268" w:type="dxa"/>
            <w:vAlign w:val="center"/>
          </w:tcPr>
          <w:p w14:paraId="1D9C4E90">
            <w:pPr>
              <w:adjustRightInd w:val="0"/>
              <w:snapToGrid w:val="0"/>
              <w:jc w:val="center"/>
              <w:rPr>
                <w:rFonts w:asciiTheme="minorEastAsia" w:hAnsiTheme="minorEastAsia" w:eastAsiaTheme="minorEastAsia" w:cstheme="minorBidi"/>
                <w:sz w:val="28"/>
                <w:szCs w:val="24"/>
              </w:rPr>
            </w:pPr>
          </w:p>
        </w:tc>
        <w:tc>
          <w:tcPr>
            <w:tcW w:w="2092" w:type="dxa"/>
            <w:vAlign w:val="center"/>
          </w:tcPr>
          <w:p w14:paraId="63332DEA">
            <w:pPr>
              <w:adjustRightInd w:val="0"/>
              <w:snapToGrid w:val="0"/>
              <w:jc w:val="center"/>
              <w:rPr>
                <w:rFonts w:asciiTheme="minorEastAsia" w:hAnsiTheme="minorEastAsia" w:eastAsiaTheme="minorEastAsia" w:cstheme="minorBidi"/>
                <w:sz w:val="28"/>
                <w:szCs w:val="24"/>
              </w:rPr>
            </w:pPr>
          </w:p>
        </w:tc>
      </w:tr>
      <w:tr w14:paraId="0366E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2978" w:type="dxa"/>
            <w:vAlign w:val="center"/>
          </w:tcPr>
          <w:p w14:paraId="197B0136">
            <w:pPr>
              <w:adjustRightInd w:val="0"/>
              <w:snapToGrid w:val="0"/>
              <w:jc w:val="center"/>
              <w:rPr>
                <w:rFonts w:asciiTheme="minorEastAsia" w:hAnsiTheme="minorEastAsia" w:eastAsiaTheme="minorEastAsia" w:cstheme="minorBidi"/>
                <w:sz w:val="28"/>
                <w:szCs w:val="24"/>
              </w:rPr>
            </w:pPr>
          </w:p>
        </w:tc>
        <w:tc>
          <w:tcPr>
            <w:tcW w:w="2268" w:type="dxa"/>
            <w:vAlign w:val="center"/>
          </w:tcPr>
          <w:p w14:paraId="4B5D1457">
            <w:pPr>
              <w:adjustRightInd w:val="0"/>
              <w:snapToGrid w:val="0"/>
              <w:jc w:val="center"/>
              <w:rPr>
                <w:rFonts w:asciiTheme="minorEastAsia" w:hAnsiTheme="minorEastAsia" w:eastAsiaTheme="minorEastAsia" w:cstheme="minorBidi"/>
                <w:sz w:val="28"/>
                <w:szCs w:val="24"/>
              </w:rPr>
            </w:pPr>
          </w:p>
        </w:tc>
        <w:tc>
          <w:tcPr>
            <w:tcW w:w="2268" w:type="dxa"/>
            <w:vAlign w:val="center"/>
          </w:tcPr>
          <w:p w14:paraId="4858317C">
            <w:pPr>
              <w:adjustRightInd w:val="0"/>
              <w:snapToGrid w:val="0"/>
              <w:jc w:val="center"/>
              <w:rPr>
                <w:rFonts w:asciiTheme="minorEastAsia" w:hAnsiTheme="minorEastAsia" w:eastAsiaTheme="minorEastAsia" w:cstheme="minorBidi"/>
                <w:sz w:val="28"/>
                <w:szCs w:val="24"/>
              </w:rPr>
            </w:pPr>
          </w:p>
        </w:tc>
        <w:tc>
          <w:tcPr>
            <w:tcW w:w="2092" w:type="dxa"/>
            <w:vAlign w:val="center"/>
          </w:tcPr>
          <w:p w14:paraId="0DB626D1">
            <w:pPr>
              <w:adjustRightInd w:val="0"/>
              <w:snapToGrid w:val="0"/>
              <w:jc w:val="center"/>
              <w:rPr>
                <w:rFonts w:asciiTheme="minorEastAsia" w:hAnsiTheme="minorEastAsia" w:eastAsiaTheme="minorEastAsia" w:cstheme="minorBidi"/>
                <w:sz w:val="28"/>
                <w:szCs w:val="24"/>
              </w:rPr>
            </w:pPr>
          </w:p>
        </w:tc>
      </w:tr>
      <w:tr w14:paraId="16E37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2978" w:type="dxa"/>
            <w:vAlign w:val="center"/>
          </w:tcPr>
          <w:p w14:paraId="43ADDA6B">
            <w:pPr>
              <w:adjustRightInd w:val="0"/>
              <w:snapToGrid w:val="0"/>
              <w:jc w:val="center"/>
              <w:rPr>
                <w:rFonts w:asciiTheme="minorEastAsia" w:hAnsiTheme="minorEastAsia" w:eastAsiaTheme="minorEastAsia" w:cstheme="minorBidi"/>
                <w:sz w:val="28"/>
                <w:szCs w:val="24"/>
              </w:rPr>
            </w:pPr>
          </w:p>
        </w:tc>
        <w:tc>
          <w:tcPr>
            <w:tcW w:w="2268" w:type="dxa"/>
            <w:vAlign w:val="center"/>
          </w:tcPr>
          <w:p w14:paraId="3764F0A7">
            <w:pPr>
              <w:adjustRightInd w:val="0"/>
              <w:snapToGrid w:val="0"/>
              <w:jc w:val="center"/>
              <w:rPr>
                <w:rFonts w:asciiTheme="minorEastAsia" w:hAnsiTheme="minorEastAsia" w:eastAsiaTheme="minorEastAsia" w:cstheme="minorBidi"/>
                <w:sz w:val="28"/>
                <w:szCs w:val="24"/>
              </w:rPr>
            </w:pPr>
          </w:p>
        </w:tc>
        <w:tc>
          <w:tcPr>
            <w:tcW w:w="2268" w:type="dxa"/>
            <w:vAlign w:val="center"/>
          </w:tcPr>
          <w:p w14:paraId="60B23B60">
            <w:pPr>
              <w:adjustRightInd w:val="0"/>
              <w:snapToGrid w:val="0"/>
              <w:jc w:val="center"/>
              <w:rPr>
                <w:rFonts w:asciiTheme="minorEastAsia" w:hAnsiTheme="minorEastAsia" w:eastAsiaTheme="minorEastAsia" w:cstheme="minorBidi"/>
                <w:sz w:val="28"/>
                <w:szCs w:val="24"/>
              </w:rPr>
            </w:pPr>
          </w:p>
        </w:tc>
        <w:tc>
          <w:tcPr>
            <w:tcW w:w="2092" w:type="dxa"/>
            <w:vAlign w:val="center"/>
          </w:tcPr>
          <w:p w14:paraId="0E1F00F3">
            <w:pPr>
              <w:adjustRightInd w:val="0"/>
              <w:snapToGrid w:val="0"/>
              <w:jc w:val="center"/>
              <w:rPr>
                <w:rFonts w:asciiTheme="minorEastAsia" w:hAnsiTheme="minorEastAsia" w:eastAsiaTheme="minorEastAsia" w:cstheme="minorBidi"/>
                <w:sz w:val="28"/>
                <w:szCs w:val="24"/>
              </w:rPr>
            </w:pPr>
          </w:p>
        </w:tc>
      </w:tr>
      <w:tr w14:paraId="21289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2978" w:type="dxa"/>
            <w:vAlign w:val="center"/>
          </w:tcPr>
          <w:p w14:paraId="47DD844E">
            <w:pPr>
              <w:adjustRightInd w:val="0"/>
              <w:snapToGrid w:val="0"/>
              <w:jc w:val="center"/>
              <w:rPr>
                <w:rFonts w:asciiTheme="minorEastAsia" w:hAnsiTheme="minorEastAsia" w:eastAsiaTheme="minorEastAsia" w:cstheme="minorBidi"/>
                <w:sz w:val="28"/>
                <w:szCs w:val="24"/>
              </w:rPr>
            </w:pPr>
          </w:p>
        </w:tc>
        <w:tc>
          <w:tcPr>
            <w:tcW w:w="2268" w:type="dxa"/>
            <w:vAlign w:val="center"/>
          </w:tcPr>
          <w:p w14:paraId="01A9944C">
            <w:pPr>
              <w:adjustRightInd w:val="0"/>
              <w:snapToGrid w:val="0"/>
              <w:jc w:val="center"/>
              <w:rPr>
                <w:rFonts w:asciiTheme="minorEastAsia" w:hAnsiTheme="minorEastAsia" w:eastAsiaTheme="minorEastAsia" w:cstheme="minorBidi"/>
                <w:sz w:val="28"/>
                <w:szCs w:val="24"/>
              </w:rPr>
            </w:pPr>
          </w:p>
        </w:tc>
        <w:tc>
          <w:tcPr>
            <w:tcW w:w="2268" w:type="dxa"/>
            <w:vAlign w:val="center"/>
          </w:tcPr>
          <w:p w14:paraId="331541C8">
            <w:pPr>
              <w:adjustRightInd w:val="0"/>
              <w:snapToGrid w:val="0"/>
              <w:jc w:val="center"/>
              <w:rPr>
                <w:rFonts w:asciiTheme="minorEastAsia" w:hAnsiTheme="minorEastAsia" w:eastAsiaTheme="minorEastAsia" w:cstheme="minorBidi"/>
                <w:sz w:val="28"/>
                <w:szCs w:val="24"/>
              </w:rPr>
            </w:pPr>
          </w:p>
        </w:tc>
        <w:tc>
          <w:tcPr>
            <w:tcW w:w="2092" w:type="dxa"/>
            <w:vAlign w:val="center"/>
          </w:tcPr>
          <w:p w14:paraId="2F9CE996">
            <w:pPr>
              <w:adjustRightInd w:val="0"/>
              <w:snapToGrid w:val="0"/>
              <w:jc w:val="center"/>
              <w:rPr>
                <w:rFonts w:asciiTheme="minorEastAsia" w:hAnsiTheme="minorEastAsia" w:eastAsiaTheme="minorEastAsia" w:cstheme="minorBidi"/>
                <w:sz w:val="28"/>
                <w:szCs w:val="24"/>
              </w:rPr>
            </w:pPr>
          </w:p>
        </w:tc>
      </w:tr>
    </w:tbl>
    <w:p w14:paraId="17B98341">
      <w:pPr>
        <w:ind w:firstLine="560" w:firstLineChars="200"/>
        <w:jc w:val="left"/>
        <w:rPr>
          <w:rFonts w:asciiTheme="minorEastAsia" w:hAnsiTheme="minorEastAsia" w:eastAsiaTheme="minorEastAsia"/>
          <w:sz w:val="28"/>
          <w:szCs w:val="24"/>
        </w:rPr>
      </w:pPr>
      <w:r>
        <w:rPr>
          <w:rFonts w:hint="eastAsia" w:asciiTheme="minorEastAsia" w:hAnsiTheme="minorEastAsia" w:eastAsiaTheme="minorEastAsia"/>
          <w:sz w:val="28"/>
          <w:szCs w:val="24"/>
        </w:rPr>
        <w:t>备注：（</w:t>
      </w:r>
      <w:r>
        <w:rPr>
          <w:rFonts w:hint="eastAsia" w:asciiTheme="minorEastAsia" w:hAnsiTheme="minorEastAsia" w:eastAsiaTheme="minorEastAsia"/>
          <w:sz w:val="28"/>
          <w:szCs w:val="24"/>
          <w:u w:val="single"/>
        </w:rPr>
        <w:t>如交付样板房设置于售楼处内，需注明后期须移至工程实体中）</w:t>
      </w:r>
      <w:r>
        <w:rPr>
          <w:rFonts w:hint="eastAsia" w:asciiTheme="minorEastAsia" w:hAnsiTheme="minorEastAsia" w:eastAsiaTheme="minorEastAsia"/>
          <w:sz w:val="28"/>
          <w:szCs w:val="24"/>
        </w:rPr>
        <w:t>。</w:t>
      </w:r>
    </w:p>
    <w:p w14:paraId="66615A5C">
      <w:pPr>
        <w:tabs>
          <w:tab w:val="left" w:pos="644"/>
        </w:tabs>
        <w:snapToGrid w:val="0"/>
        <w:spacing w:before="156" w:beforeLines="50" w:after="156" w:afterLines="50"/>
        <w:jc w:val="left"/>
        <w:rPr>
          <w:rFonts w:ascii="黑体" w:hAnsi="黑体" w:eastAsia="黑体" w:cs="宋体"/>
          <w:b/>
          <w:bCs/>
          <w:color w:val="000000"/>
          <w:kern w:val="0"/>
          <w:szCs w:val="32"/>
        </w:rPr>
      </w:pPr>
    </w:p>
    <w:p w14:paraId="59DE9016">
      <w:pPr>
        <w:widowControl/>
        <w:jc w:val="left"/>
        <w:rPr>
          <w:rFonts w:ascii="黑体" w:hAnsi="黑体" w:eastAsia="黑体" w:cs="宋体"/>
          <w:b/>
          <w:bCs/>
          <w:color w:val="000000"/>
          <w:kern w:val="0"/>
          <w:szCs w:val="32"/>
        </w:rPr>
      </w:pPr>
      <w:r>
        <w:rPr>
          <w:rFonts w:ascii="黑体" w:hAnsi="黑体" w:eastAsia="黑体" w:cs="宋体"/>
          <w:b/>
          <w:bCs/>
          <w:color w:val="000000"/>
          <w:kern w:val="0"/>
          <w:szCs w:val="32"/>
        </w:rPr>
        <w:br w:type="page"/>
      </w:r>
    </w:p>
    <w:p w14:paraId="1085E4D3">
      <w:pPr>
        <w:tabs>
          <w:tab w:val="left" w:pos="644"/>
        </w:tabs>
        <w:snapToGrid w:val="0"/>
        <w:spacing w:before="156" w:beforeLines="50" w:after="156" w:afterLines="50"/>
        <w:jc w:val="left"/>
        <w:rPr>
          <w:rFonts w:ascii="黑体" w:hAnsi="黑体" w:eastAsia="黑体" w:cs="宋体"/>
          <w:bCs/>
          <w:color w:val="000000"/>
          <w:kern w:val="0"/>
          <w:szCs w:val="32"/>
        </w:rPr>
      </w:pPr>
      <w:r>
        <w:rPr>
          <w:rFonts w:hint="eastAsia" w:ascii="黑体" w:hAnsi="黑体" w:eastAsia="黑体" w:cs="宋体"/>
          <w:bCs/>
          <w:color w:val="000000"/>
          <w:kern w:val="0"/>
          <w:szCs w:val="32"/>
        </w:rPr>
        <w:t>附件1：</w:t>
      </w:r>
    </w:p>
    <w:p w14:paraId="05144579">
      <w:pPr>
        <w:tabs>
          <w:tab w:val="left" w:pos="644"/>
        </w:tabs>
        <w:snapToGrid w:val="0"/>
        <w:spacing w:before="156" w:beforeLines="50" w:after="156" w:afterLines="50"/>
        <w:jc w:val="center"/>
        <w:rPr>
          <w:rFonts w:ascii="黑体" w:hAnsi="黑体" w:eastAsia="黑体" w:cs="宋体"/>
          <w:bCs/>
          <w:color w:val="000000"/>
          <w:kern w:val="0"/>
          <w:szCs w:val="32"/>
        </w:rPr>
      </w:pPr>
      <w:r>
        <w:rPr>
          <w:rFonts w:hint="eastAsia" w:ascii="黑体" w:hAnsi="黑体" w:eastAsia="黑体" w:cs="宋体"/>
          <w:bCs/>
          <w:color w:val="000000"/>
          <w:kern w:val="0"/>
          <w:szCs w:val="32"/>
        </w:rPr>
        <w:t>规划许可证复印件（A4）</w:t>
      </w:r>
    </w:p>
    <w:p w14:paraId="7CA440DF">
      <w:pPr>
        <w:tabs>
          <w:tab w:val="left" w:pos="644"/>
        </w:tabs>
        <w:snapToGrid w:val="0"/>
        <w:spacing w:before="156" w:beforeLines="50" w:after="156" w:afterLines="50"/>
        <w:jc w:val="left"/>
        <w:rPr>
          <w:rFonts w:ascii="黑体" w:hAnsi="黑体" w:eastAsia="黑体" w:cs="宋体"/>
          <w:b/>
          <w:bCs/>
          <w:color w:val="000000"/>
          <w:kern w:val="0"/>
          <w:szCs w:val="32"/>
        </w:rPr>
      </w:pPr>
      <w:r>
        <w:rPr>
          <w:rFonts w:hint="eastAsia" w:ascii="黑体" w:hAnsi="黑体" w:eastAsia="黑体" w:cs="宋体"/>
          <w:b/>
          <w:bCs/>
          <w:color w:val="000000"/>
          <w:kern w:val="0"/>
          <w:szCs w:val="32"/>
        </w:rPr>
        <w:drawing>
          <wp:inline distT="0" distB="0" distL="114300" distR="114300">
            <wp:extent cx="6254750" cy="8821420"/>
            <wp:effectExtent l="0" t="0" r="3175" b="8255"/>
            <wp:docPr id="2" name="图片 3" descr="09规划许可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09规划许可证_01"/>
                    <pic:cNvPicPr>
                      <a:picLocks noChangeAspect="1"/>
                    </pic:cNvPicPr>
                  </pic:nvPicPr>
                  <pic:blipFill>
                    <a:blip r:embed="rId4"/>
                    <a:stretch>
                      <a:fillRect/>
                    </a:stretch>
                  </pic:blipFill>
                  <pic:spPr>
                    <a:xfrm>
                      <a:off x="0" y="0"/>
                      <a:ext cx="6254750" cy="8821420"/>
                    </a:xfrm>
                    <a:prstGeom prst="rect">
                      <a:avLst/>
                    </a:prstGeom>
                  </pic:spPr>
                </pic:pic>
              </a:graphicData>
            </a:graphic>
          </wp:inline>
        </w:drawing>
      </w:r>
      <w:r>
        <w:rPr>
          <w:rFonts w:hint="eastAsia" w:ascii="黑体" w:hAnsi="黑体" w:eastAsia="黑体" w:cs="宋体"/>
          <w:b/>
          <w:bCs/>
          <w:color w:val="000000"/>
          <w:kern w:val="0"/>
          <w:szCs w:val="32"/>
        </w:rPr>
        <w:drawing>
          <wp:inline distT="0" distB="0" distL="114300" distR="114300">
            <wp:extent cx="6630035" cy="9586595"/>
            <wp:effectExtent l="0" t="0" r="8890" b="5080"/>
            <wp:docPr id="5" name="图片 2" descr="09规划许可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09规划许可证_02"/>
                    <pic:cNvPicPr>
                      <a:picLocks noChangeAspect="1"/>
                    </pic:cNvPicPr>
                  </pic:nvPicPr>
                  <pic:blipFill>
                    <a:blip r:embed="rId5"/>
                    <a:stretch>
                      <a:fillRect/>
                    </a:stretch>
                  </pic:blipFill>
                  <pic:spPr>
                    <a:xfrm>
                      <a:off x="0" y="0"/>
                      <a:ext cx="6630035" cy="9586595"/>
                    </a:xfrm>
                    <a:prstGeom prst="rect">
                      <a:avLst/>
                    </a:prstGeom>
                  </pic:spPr>
                </pic:pic>
              </a:graphicData>
            </a:graphic>
          </wp:inline>
        </w:drawing>
      </w:r>
      <w:r>
        <w:rPr>
          <w:rFonts w:hint="eastAsia" w:ascii="黑体" w:hAnsi="黑体" w:eastAsia="黑体" w:cs="宋体"/>
          <w:b/>
          <w:bCs/>
          <w:color w:val="000000"/>
          <w:kern w:val="0"/>
          <w:szCs w:val="32"/>
        </w:rPr>
        <w:drawing>
          <wp:inline distT="0" distB="0" distL="114300" distR="114300">
            <wp:extent cx="6640195" cy="9451340"/>
            <wp:effectExtent l="0" t="0" r="8255" b="6985"/>
            <wp:docPr id="8" name="图片 1" descr="09规划许可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09规划许可证_03"/>
                    <pic:cNvPicPr>
                      <a:picLocks noChangeAspect="1"/>
                    </pic:cNvPicPr>
                  </pic:nvPicPr>
                  <pic:blipFill>
                    <a:blip r:embed="rId6"/>
                    <a:stretch>
                      <a:fillRect/>
                    </a:stretch>
                  </pic:blipFill>
                  <pic:spPr>
                    <a:xfrm>
                      <a:off x="0" y="0"/>
                      <a:ext cx="6640195" cy="9451340"/>
                    </a:xfrm>
                    <a:prstGeom prst="rect">
                      <a:avLst/>
                    </a:prstGeom>
                  </pic:spPr>
                </pic:pic>
              </a:graphicData>
            </a:graphic>
          </wp:inline>
        </w:drawing>
      </w:r>
    </w:p>
    <w:p w14:paraId="0CB893E9">
      <w:pPr>
        <w:widowControl/>
        <w:jc w:val="left"/>
        <w:rPr>
          <w:rFonts w:ascii="黑体" w:hAnsi="黑体" w:eastAsia="黑体" w:cs="宋体"/>
          <w:b/>
          <w:bCs/>
          <w:color w:val="000000"/>
          <w:kern w:val="0"/>
          <w:szCs w:val="32"/>
        </w:rPr>
      </w:pPr>
      <w:r>
        <w:rPr>
          <w:rFonts w:ascii="黑体" w:hAnsi="黑体" w:eastAsia="黑体" w:cs="宋体"/>
          <w:b/>
          <w:bCs/>
          <w:color w:val="000000"/>
          <w:kern w:val="0"/>
          <w:szCs w:val="32"/>
        </w:rPr>
        <w:br w:type="page"/>
      </w:r>
    </w:p>
    <w:p w14:paraId="046525C8">
      <w:pPr>
        <w:tabs>
          <w:tab w:val="left" w:pos="644"/>
        </w:tabs>
        <w:snapToGrid w:val="0"/>
        <w:spacing w:before="156" w:beforeLines="50" w:after="156" w:afterLines="50"/>
        <w:jc w:val="left"/>
        <w:rPr>
          <w:rFonts w:ascii="黑体" w:hAnsi="黑体" w:eastAsia="黑体" w:cs="宋体"/>
          <w:bCs/>
          <w:color w:val="000000"/>
          <w:kern w:val="0"/>
          <w:szCs w:val="32"/>
        </w:rPr>
      </w:pPr>
      <w:r>
        <w:rPr>
          <w:rFonts w:hint="eastAsia" w:ascii="黑体" w:hAnsi="黑体" w:eastAsia="黑体" w:cs="宋体"/>
          <w:bCs/>
          <w:color w:val="000000"/>
          <w:kern w:val="0"/>
          <w:szCs w:val="32"/>
        </w:rPr>
        <w:t>附件2：</w:t>
      </w:r>
    </w:p>
    <w:p w14:paraId="569D602B">
      <w:pPr>
        <w:tabs>
          <w:tab w:val="left" w:pos="644"/>
        </w:tabs>
        <w:snapToGrid w:val="0"/>
        <w:spacing w:before="156" w:beforeLines="50" w:after="156" w:afterLines="50"/>
        <w:jc w:val="center"/>
        <w:rPr>
          <w:rFonts w:ascii="黑体" w:hAnsi="黑体" w:eastAsia="黑体" w:cs="宋体"/>
          <w:bCs/>
          <w:color w:val="000000"/>
          <w:kern w:val="0"/>
          <w:szCs w:val="32"/>
        </w:rPr>
      </w:pPr>
      <w:r>
        <w:rPr>
          <w:rFonts w:hint="eastAsia" w:ascii="黑体" w:hAnsi="黑体" w:eastAsia="黑体" w:cs="宋体"/>
          <w:bCs/>
          <w:color w:val="000000"/>
          <w:kern w:val="0"/>
          <w:szCs w:val="32"/>
        </w:rPr>
        <w:t>（审图合格证复印件A4）</w:t>
      </w:r>
    </w:p>
    <w:p w14:paraId="5BB354BF">
      <w:pPr>
        <w:tabs>
          <w:tab w:val="left" w:pos="644"/>
        </w:tabs>
        <w:snapToGrid w:val="0"/>
        <w:spacing w:before="156" w:beforeLines="50" w:after="156" w:afterLines="50"/>
        <w:jc w:val="left"/>
        <w:rPr>
          <w:rFonts w:ascii="黑体" w:hAnsi="黑体" w:eastAsia="黑体" w:cs="宋体"/>
          <w:bCs/>
          <w:color w:val="000000"/>
          <w:kern w:val="0"/>
          <w:szCs w:val="32"/>
        </w:rPr>
      </w:pPr>
      <w:r>
        <w:rPr>
          <w:rFonts w:hint="eastAsia" w:ascii="黑体" w:hAnsi="黑体" w:eastAsia="黑体" w:cs="宋体"/>
          <w:bCs/>
          <w:color w:val="000000"/>
          <w:kern w:val="0"/>
          <w:szCs w:val="32"/>
        </w:rPr>
        <w:drawing>
          <wp:inline distT="0" distB="0" distL="114300" distR="114300">
            <wp:extent cx="8743950" cy="6061075"/>
            <wp:effectExtent l="0" t="0" r="6350" b="0"/>
            <wp:docPr id="11" name="图片 5" descr="审图合格证1(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descr="审图合格证1(1)_01"/>
                    <pic:cNvPicPr>
                      <a:picLocks noChangeAspect="1"/>
                    </pic:cNvPicPr>
                  </pic:nvPicPr>
                  <pic:blipFill>
                    <a:blip r:embed="rId7"/>
                    <a:stretch>
                      <a:fillRect/>
                    </a:stretch>
                  </pic:blipFill>
                  <pic:spPr>
                    <a:xfrm rot="5400000">
                      <a:off x="0" y="0"/>
                      <a:ext cx="8743950" cy="6061075"/>
                    </a:xfrm>
                    <a:prstGeom prst="rect">
                      <a:avLst/>
                    </a:prstGeom>
                  </pic:spPr>
                </pic:pic>
              </a:graphicData>
            </a:graphic>
          </wp:inline>
        </w:drawing>
      </w:r>
      <w:r>
        <w:rPr>
          <w:rFonts w:hint="eastAsia" w:ascii="黑体" w:hAnsi="黑体" w:eastAsia="黑体" w:cs="宋体"/>
          <w:bCs/>
          <w:color w:val="000000"/>
          <w:kern w:val="0"/>
          <w:szCs w:val="32"/>
        </w:rPr>
        <w:drawing>
          <wp:inline distT="0" distB="0" distL="114300" distR="114300">
            <wp:extent cx="6644005" cy="9398635"/>
            <wp:effectExtent l="0" t="0" r="4445" b="2540"/>
            <wp:docPr id="14" name="图片 4" descr="审图合格证1(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descr="审图合格证1(1)_02"/>
                    <pic:cNvPicPr>
                      <a:picLocks noChangeAspect="1"/>
                    </pic:cNvPicPr>
                  </pic:nvPicPr>
                  <pic:blipFill>
                    <a:blip r:embed="rId8"/>
                    <a:stretch>
                      <a:fillRect/>
                    </a:stretch>
                  </pic:blipFill>
                  <pic:spPr>
                    <a:xfrm>
                      <a:off x="0" y="0"/>
                      <a:ext cx="6644005" cy="9398635"/>
                    </a:xfrm>
                    <a:prstGeom prst="rect">
                      <a:avLst/>
                    </a:prstGeom>
                  </pic:spPr>
                </pic:pic>
              </a:graphicData>
            </a:graphic>
          </wp:inline>
        </w:drawing>
      </w:r>
    </w:p>
    <w:p w14:paraId="50D334B8">
      <w:pPr>
        <w:widowControl/>
        <w:jc w:val="left"/>
        <w:rPr>
          <w:rFonts w:ascii="黑体" w:hAnsi="黑体" w:eastAsia="黑体" w:cs="宋体"/>
          <w:b/>
          <w:bCs/>
          <w:color w:val="000000"/>
          <w:kern w:val="0"/>
          <w:szCs w:val="32"/>
        </w:rPr>
      </w:pPr>
      <w:r>
        <w:rPr>
          <w:rFonts w:ascii="黑体" w:hAnsi="黑体" w:eastAsia="黑体" w:cs="宋体"/>
          <w:b/>
          <w:bCs/>
          <w:color w:val="000000"/>
          <w:kern w:val="0"/>
          <w:szCs w:val="32"/>
        </w:rPr>
        <w:br w:type="page"/>
      </w:r>
    </w:p>
    <w:p w14:paraId="7FD23178">
      <w:pPr>
        <w:widowControl/>
        <w:jc w:val="left"/>
        <w:rPr>
          <w:rFonts w:ascii="黑体" w:hAnsi="黑体" w:eastAsia="黑体" w:cs="宋体"/>
          <w:b/>
          <w:bCs/>
          <w:color w:val="000000"/>
          <w:kern w:val="0"/>
          <w:szCs w:val="32"/>
        </w:rPr>
      </w:pPr>
      <w:r>
        <w:rPr>
          <w:rFonts w:hint="eastAsia" w:ascii="黑体" w:hAnsi="黑体" w:eastAsia="黑体" w:cs="宋体"/>
          <w:b/>
          <w:bCs/>
          <w:color w:val="000000"/>
          <w:kern w:val="0"/>
          <w:szCs w:val="32"/>
        </w:rPr>
        <w:drawing>
          <wp:inline distT="0" distB="0" distL="114300" distR="114300">
            <wp:extent cx="9071610" cy="6287770"/>
            <wp:effectExtent l="0" t="0" r="8255" b="5715"/>
            <wp:docPr id="17" name="图片 7" descr="审图合格证2(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descr="审图合格证2(1)_01"/>
                    <pic:cNvPicPr>
                      <a:picLocks noChangeAspect="1"/>
                    </pic:cNvPicPr>
                  </pic:nvPicPr>
                  <pic:blipFill>
                    <a:blip r:embed="rId9"/>
                    <a:stretch>
                      <a:fillRect/>
                    </a:stretch>
                  </pic:blipFill>
                  <pic:spPr>
                    <a:xfrm rot="5400000">
                      <a:off x="0" y="0"/>
                      <a:ext cx="9071610" cy="6287770"/>
                    </a:xfrm>
                    <a:prstGeom prst="rect">
                      <a:avLst/>
                    </a:prstGeom>
                  </pic:spPr>
                </pic:pic>
              </a:graphicData>
            </a:graphic>
          </wp:inline>
        </w:drawing>
      </w:r>
      <w:r>
        <w:rPr>
          <w:rFonts w:hint="eastAsia" w:ascii="黑体" w:hAnsi="黑体" w:eastAsia="黑体" w:cs="宋体"/>
          <w:b/>
          <w:bCs/>
          <w:color w:val="000000"/>
          <w:kern w:val="0"/>
          <w:szCs w:val="32"/>
        </w:rPr>
        <w:drawing>
          <wp:inline distT="0" distB="0" distL="114300" distR="114300">
            <wp:extent cx="6644005" cy="9398635"/>
            <wp:effectExtent l="0" t="0" r="4445" b="2540"/>
            <wp:docPr id="20" name="图片 6" descr="审图合格证2(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descr="审图合格证2(1)_02"/>
                    <pic:cNvPicPr>
                      <a:picLocks noChangeAspect="1"/>
                    </pic:cNvPicPr>
                  </pic:nvPicPr>
                  <pic:blipFill>
                    <a:blip r:embed="rId10"/>
                    <a:stretch>
                      <a:fillRect/>
                    </a:stretch>
                  </pic:blipFill>
                  <pic:spPr>
                    <a:xfrm>
                      <a:off x="0" y="0"/>
                      <a:ext cx="6644005" cy="9398635"/>
                    </a:xfrm>
                    <a:prstGeom prst="rect">
                      <a:avLst/>
                    </a:prstGeom>
                  </pic:spPr>
                </pic:pic>
              </a:graphicData>
            </a:graphic>
          </wp:inline>
        </w:drawing>
      </w:r>
    </w:p>
    <w:p w14:paraId="1D23AA70">
      <w:pPr>
        <w:tabs>
          <w:tab w:val="left" w:pos="644"/>
        </w:tabs>
        <w:snapToGrid w:val="0"/>
        <w:spacing w:before="156" w:beforeLines="50" w:after="156" w:afterLines="50"/>
        <w:jc w:val="left"/>
        <w:rPr>
          <w:rFonts w:ascii="黑体" w:hAnsi="黑体" w:eastAsia="黑体" w:cs="宋体"/>
          <w:bCs/>
          <w:color w:val="000000"/>
          <w:kern w:val="0"/>
          <w:szCs w:val="32"/>
        </w:rPr>
      </w:pPr>
      <w:r>
        <w:rPr>
          <w:rFonts w:hint="eastAsia" w:ascii="黑体" w:hAnsi="黑体" w:eastAsia="黑体" w:cs="宋体"/>
          <w:bCs/>
          <w:color w:val="000000"/>
          <w:kern w:val="0"/>
          <w:szCs w:val="32"/>
        </w:rPr>
        <w:t>附件3：</w:t>
      </w:r>
    </w:p>
    <w:p w14:paraId="69951F49">
      <w:pPr>
        <w:tabs>
          <w:tab w:val="left" w:pos="644"/>
        </w:tabs>
        <w:snapToGrid w:val="0"/>
        <w:spacing w:before="156" w:beforeLines="50" w:after="156" w:afterLines="50"/>
        <w:jc w:val="center"/>
        <w:rPr>
          <w:rFonts w:ascii="黑体" w:hAnsi="黑体" w:eastAsia="黑体" w:cs="宋体"/>
          <w:bCs/>
          <w:color w:val="000000"/>
          <w:kern w:val="0"/>
          <w:szCs w:val="32"/>
        </w:rPr>
      </w:pPr>
      <w:r>
        <w:rPr>
          <w:rFonts w:hint="eastAsia" w:ascii="黑体" w:hAnsi="黑体" w:eastAsia="黑体" w:cs="宋体"/>
          <w:bCs/>
          <w:color w:val="000000"/>
          <w:kern w:val="0"/>
          <w:szCs w:val="32"/>
        </w:rPr>
        <w:t>（施工许可证复印件A4）</w:t>
      </w:r>
    </w:p>
    <w:p w14:paraId="291B954F">
      <w:pPr>
        <w:tabs>
          <w:tab w:val="left" w:pos="644"/>
        </w:tabs>
        <w:snapToGrid w:val="0"/>
        <w:spacing w:before="156" w:beforeLines="50" w:after="156" w:afterLines="50"/>
        <w:jc w:val="left"/>
        <w:rPr>
          <w:rFonts w:ascii="黑体" w:hAnsi="黑体" w:eastAsia="黑体" w:cs="宋体"/>
          <w:bCs/>
          <w:color w:val="000000"/>
          <w:kern w:val="0"/>
          <w:szCs w:val="32"/>
        </w:rPr>
      </w:pPr>
      <w:r>
        <w:rPr>
          <w:rFonts w:hint="eastAsia" w:ascii="黑体" w:hAnsi="黑体" w:eastAsia="黑体" w:cs="宋体"/>
          <w:bCs/>
          <w:color w:val="000000"/>
          <w:kern w:val="0"/>
          <w:szCs w:val="32"/>
        </w:rPr>
        <w:drawing>
          <wp:inline distT="0" distB="0" distL="114300" distR="114300">
            <wp:extent cx="8765540" cy="6198235"/>
            <wp:effectExtent l="0" t="0" r="2540" b="6985"/>
            <wp:docPr id="23" name="图片 9" descr="10施工许可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descr="10施工许可证_01"/>
                    <pic:cNvPicPr>
                      <a:picLocks noChangeAspect="1"/>
                    </pic:cNvPicPr>
                  </pic:nvPicPr>
                  <pic:blipFill>
                    <a:blip r:embed="rId11"/>
                    <a:stretch>
                      <a:fillRect/>
                    </a:stretch>
                  </pic:blipFill>
                  <pic:spPr>
                    <a:xfrm rot="5400000">
                      <a:off x="0" y="0"/>
                      <a:ext cx="8765540" cy="6198235"/>
                    </a:xfrm>
                    <a:prstGeom prst="rect">
                      <a:avLst/>
                    </a:prstGeom>
                  </pic:spPr>
                </pic:pic>
              </a:graphicData>
            </a:graphic>
          </wp:inline>
        </w:drawing>
      </w:r>
      <w:r>
        <w:rPr>
          <w:rFonts w:hint="eastAsia" w:ascii="黑体" w:hAnsi="黑体" w:eastAsia="黑体" w:cs="宋体"/>
          <w:bCs/>
          <w:color w:val="000000"/>
          <w:kern w:val="0"/>
          <w:szCs w:val="32"/>
        </w:rPr>
        <w:drawing>
          <wp:inline distT="0" distB="0" distL="114300" distR="114300">
            <wp:extent cx="9248140" cy="6539230"/>
            <wp:effectExtent l="0" t="0" r="4445" b="635"/>
            <wp:docPr id="26" name="图片 8" descr="10施工许可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descr="10施工许可证_02"/>
                    <pic:cNvPicPr>
                      <a:picLocks noChangeAspect="1"/>
                    </pic:cNvPicPr>
                  </pic:nvPicPr>
                  <pic:blipFill>
                    <a:blip r:embed="rId12"/>
                    <a:stretch>
                      <a:fillRect/>
                    </a:stretch>
                  </pic:blipFill>
                  <pic:spPr>
                    <a:xfrm rot="5400000">
                      <a:off x="0" y="0"/>
                      <a:ext cx="9248140" cy="6539230"/>
                    </a:xfrm>
                    <a:prstGeom prst="rect">
                      <a:avLst/>
                    </a:prstGeom>
                  </pic:spPr>
                </pic:pic>
              </a:graphicData>
            </a:graphic>
          </wp:inline>
        </w:drawing>
      </w:r>
    </w:p>
    <w:p w14:paraId="5C2B7B33">
      <w:pPr>
        <w:widowControl/>
        <w:jc w:val="left"/>
        <w:rPr>
          <w:rFonts w:ascii="黑体" w:hAnsi="黑体" w:eastAsia="黑体" w:cs="宋体"/>
          <w:b/>
          <w:bCs/>
          <w:color w:val="000000"/>
          <w:kern w:val="0"/>
          <w:szCs w:val="32"/>
          <w:highlight w:val="none"/>
        </w:rPr>
      </w:pPr>
      <w:r>
        <w:rPr>
          <w:rFonts w:ascii="黑体" w:hAnsi="黑体" w:eastAsia="黑体" w:cs="宋体"/>
          <w:b/>
          <w:bCs/>
          <w:color w:val="000000"/>
          <w:kern w:val="0"/>
          <w:szCs w:val="32"/>
          <w:highlight w:val="none"/>
        </w:rPr>
        <w:br w:type="page"/>
      </w:r>
    </w:p>
    <w:p w14:paraId="5A503CB2">
      <w:pPr>
        <w:tabs>
          <w:tab w:val="left" w:pos="644"/>
        </w:tabs>
        <w:snapToGrid w:val="0"/>
        <w:spacing w:before="156" w:beforeLines="50" w:after="156" w:afterLines="50"/>
        <w:jc w:val="left"/>
        <w:rPr>
          <w:rFonts w:ascii="黑体" w:hAnsi="黑体" w:eastAsia="黑体" w:cs="宋体"/>
          <w:bCs/>
          <w:color w:val="000000"/>
          <w:kern w:val="0"/>
          <w:szCs w:val="32"/>
          <w:highlight w:val="none"/>
        </w:rPr>
      </w:pPr>
      <w:r>
        <w:rPr>
          <w:rFonts w:hint="eastAsia" w:ascii="黑体" w:hAnsi="黑体" w:eastAsia="黑体" w:cs="宋体"/>
          <w:bCs/>
          <w:color w:val="000000"/>
          <w:kern w:val="0"/>
          <w:szCs w:val="32"/>
          <w:highlight w:val="none"/>
        </w:rPr>
        <w:t>附件4：</w:t>
      </w:r>
    </w:p>
    <w:p w14:paraId="611649EE">
      <w:pPr>
        <w:tabs>
          <w:tab w:val="left" w:pos="644"/>
        </w:tabs>
        <w:snapToGrid w:val="0"/>
        <w:spacing w:before="156" w:beforeLines="50" w:after="156" w:afterLines="50"/>
        <w:jc w:val="center"/>
        <w:rPr>
          <w:rFonts w:ascii="黑体" w:hAnsi="宋体" w:eastAsia="黑体"/>
          <w:color w:val="000000" w:themeColor="text1"/>
          <w:szCs w:val="32"/>
          <w:highlight w:val="none"/>
          <w14:textFill>
            <w14:solidFill>
              <w14:schemeClr w14:val="tx1"/>
            </w14:solidFill>
          </w14:textFill>
        </w:rPr>
      </w:pPr>
      <w:r>
        <w:rPr>
          <w:rFonts w:hint="eastAsia" w:ascii="黑体" w:hAnsi="宋体" w:eastAsia="黑体"/>
          <w:color w:val="000000" w:themeColor="text1"/>
          <w:szCs w:val="32"/>
          <w:highlight w:val="none"/>
          <w14:textFill>
            <w14:solidFill>
              <w14:schemeClr w14:val="tx1"/>
            </w14:solidFill>
          </w14:textFill>
        </w:rPr>
        <w:t>民用建筑节能信息销售现场公示表</w:t>
      </w:r>
    </w:p>
    <w:p w14:paraId="1B139275">
      <w:pPr>
        <w:tabs>
          <w:tab w:val="left" w:pos="644"/>
        </w:tabs>
        <w:snapToGrid w:val="0"/>
        <w:spacing w:before="156" w:beforeLines="50" w:after="156" w:afterLines="50"/>
        <w:jc w:val="center"/>
        <w:rPr>
          <w:rFonts w:ascii="黑体" w:hAnsi="宋体" w:eastAsia="黑体"/>
          <w:color w:val="000000" w:themeColor="text1"/>
          <w:szCs w:val="32"/>
          <w:highlight w:val="none"/>
          <w14:textFill>
            <w14:solidFill>
              <w14:schemeClr w14:val="tx1"/>
            </w14:solidFill>
          </w14:textFill>
        </w:rPr>
      </w:pPr>
      <w:r>
        <w:rPr>
          <w:rFonts w:ascii="黑体" w:hAnsi="宋体" w:eastAsia="黑体"/>
          <w:color w:val="000000" w:themeColor="text1"/>
          <w:szCs w:val="32"/>
          <w:highlight w:val="none"/>
          <w14:textFill>
            <w14:solidFill>
              <w14:schemeClr w14:val="tx1"/>
            </w14:solidFill>
          </w14:textFill>
        </w:rPr>
        <w:t>（</w:t>
      </w:r>
      <w:r>
        <w:rPr>
          <w:rFonts w:hint="eastAsia" w:ascii="黑体" w:hAnsi="宋体" w:eastAsia="黑体"/>
          <w:color w:val="000000" w:themeColor="text1"/>
          <w:szCs w:val="32"/>
          <w:highlight w:val="none"/>
          <w14:textFill>
            <w14:solidFill>
              <w14:schemeClr w14:val="tx1"/>
            </w14:solidFill>
          </w14:textFill>
        </w:rPr>
        <w:t>此表售楼说明书内附有）</w:t>
      </w:r>
    </w:p>
    <w:p w14:paraId="6222CFD9">
      <w:pPr>
        <w:jc w:val="center"/>
        <w:rPr>
          <w:highlight w:val="none"/>
        </w:rPr>
      </w:pPr>
      <w:r>
        <w:rPr>
          <w:rFonts w:ascii="黑体" w:hAnsi="黑体" w:eastAsia="黑体" w:cs="黑体"/>
          <w:color w:val="000000"/>
          <w:highlight w:val="none"/>
        </w:rPr>
        <w:t>民用建筑节能信息销售现场公示表</w:t>
      </w:r>
    </w:p>
    <w:tbl>
      <w:tblPr>
        <w:tblStyle w:val="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5"/>
        <w:gridCol w:w="1650"/>
        <w:gridCol w:w="3840"/>
        <w:gridCol w:w="3180"/>
      </w:tblGrid>
      <w:tr w14:paraId="0ECA2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43FDF683">
            <w:pPr>
              <w:jc w:val="center"/>
              <w:rPr>
                <w:rFonts w:asciiTheme="minorHAnsi" w:hAnsiTheme="minorHAnsi" w:cstheme="minorBidi"/>
                <w:szCs w:val="22"/>
                <w:highlight w:val="none"/>
              </w:rPr>
            </w:pPr>
            <w:r>
              <w:rPr>
                <w:rFonts w:ascii="宋体" w:hAnsi="宋体" w:eastAsia="宋体" w:cs="宋体"/>
                <w:color w:val="000000"/>
                <w:sz w:val="21"/>
                <w:szCs w:val="22"/>
                <w:highlight w:val="none"/>
              </w:rPr>
              <w:t>建设单位</w:t>
            </w:r>
          </w:p>
        </w:tc>
        <w:tc>
          <w:tcPr>
            <w:tcW w:w="8670" w:type="dxa"/>
            <w:gridSpan w:val="3"/>
            <w:tcBorders>
              <w:top w:val="single" w:color="000000" w:sz="8"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9A85207">
            <w:pPr>
              <w:jc w:val="center"/>
              <w:rPr>
                <w:rFonts w:asciiTheme="minorHAnsi" w:hAnsiTheme="minorHAnsi" w:cstheme="minorBidi"/>
                <w:szCs w:val="22"/>
                <w:highlight w:val="none"/>
              </w:rPr>
            </w:pPr>
            <w:r>
              <w:rPr>
                <w:rFonts w:ascii="宋体" w:hAnsi="宋体" w:eastAsia="宋体" w:cs="宋体"/>
                <w:color w:val="000000"/>
                <w:sz w:val="21"/>
                <w:szCs w:val="22"/>
                <w:highlight w:val="none"/>
              </w:rPr>
              <w:t>无锡山水嘉泰置业有限公司</w:t>
            </w:r>
          </w:p>
        </w:tc>
      </w:tr>
      <w:tr w14:paraId="0A63F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4A536556">
            <w:pPr>
              <w:jc w:val="center"/>
              <w:rPr>
                <w:rFonts w:asciiTheme="minorHAnsi" w:hAnsiTheme="minorHAnsi" w:cstheme="minorBidi"/>
                <w:szCs w:val="22"/>
                <w:highlight w:val="none"/>
              </w:rPr>
            </w:pPr>
            <w:r>
              <w:rPr>
                <w:rFonts w:ascii="宋体" w:hAnsi="宋体" w:eastAsia="宋体" w:cs="宋体"/>
                <w:color w:val="000000"/>
                <w:sz w:val="21"/>
                <w:szCs w:val="22"/>
                <w:highlight w:val="none"/>
              </w:rPr>
              <w:t>项目名称</w:t>
            </w:r>
          </w:p>
        </w:tc>
        <w:tc>
          <w:tcPr>
            <w:tcW w:w="8670" w:type="dxa"/>
            <w:gridSpan w:val="3"/>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08B46DAD">
            <w:pPr>
              <w:jc w:val="center"/>
              <w:rPr>
                <w:rFonts w:asciiTheme="minorHAnsi" w:hAnsiTheme="minorHAnsi" w:cstheme="minorBidi"/>
                <w:szCs w:val="22"/>
                <w:highlight w:val="none"/>
              </w:rPr>
            </w:pPr>
            <w:r>
              <w:rPr>
                <w:rFonts w:asciiTheme="minorHAnsi" w:hAnsiTheme="minorHAnsi" w:cstheme="minorBidi"/>
                <w:color w:val="000000"/>
                <w:sz w:val="21"/>
                <w:szCs w:val="22"/>
                <w:highlight w:val="none"/>
              </w:rPr>
              <w:t>XDG-2024-34</w:t>
            </w:r>
            <w:r>
              <w:rPr>
                <w:rFonts w:ascii="宋体" w:hAnsi="宋体" w:eastAsia="宋体" w:cs="宋体"/>
                <w:color w:val="000000"/>
                <w:sz w:val="21"/>
                <w:szCs w:val="22"/>
                <w:highlight w:val="none"/>
              </w:rPr>
              <w:t>号地块</w:t>
            </w:r>
            <w:r>
              <w:rPr>
                <w:rFonts w:asciiTheme="minorHAnsi" w:hAnsiTheme="minorHAnsi" w:cstheme="minorBidi"/>
                <w:color w:val="000000"/>
                <w:sz w:val="21"/>
                <w:szCs w:val="22"/>
                <w:highlight w:val="none"/>
              </w:rPr>
              <w:t>-1#</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2#</w:t>
            </w:r>
          </w:p>
        </w:tc>
      </w:tr>
      <w:tr w14:paraId="28DBA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42DC19AA">
            <w:pPr>
              <w:jc w:val="center"/>
              <w:rPr>
                <w:rFonts w:asciiTheme="minorHAnsi" w:hAnsiTheme="minorHAnsi" w:cstheme="minorBidi"/>
                <w:szCs w:val="22"/>
                <w:highlight w:val="none"/>
              </w:rPr>
            </w:pPr>
            <w:r>
              <w:rPr>
                <w:rFonts w:ascii="宋体" w:hAnsi="宋体" w:eastAsia="宋体" w:cs="宋体"/>
                <w:color w:val="000000"/>
                <w:sz w:val="21"/>
                <w:szCs w:val="22"/>
                <w:highlight w:val="none"/>
              </w:rPr>
              <w:t>围护结构</w:t>
            </w:r>
          </w:p>
        </w:tc>
        <w:tc>
          <w:tcPr>
            <w:tcW w:w="165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0343C039">
            <w:pPr>
              <w:jc w:val="center"/>
              <w:rPr>
                <w:rFonts w:asciiTheme="minorHAnsi" w:hAnsiTheme="minorHAnsi" w:cstheme="minorBidi"/>
                <w:szCs w:val="22"/>
                <w:highlight w:val="none"/>
              </w:rPr>
            </w:pPr>
            <w:r>
              <w:rPr>
                <w:rFonts w:ascii="宋体" w:hAnsi="宋体" w:eastAsia="宋体" w:cs="宋体"/>
                <w:color w:val="000000"/>
                <w:sz w:val="21"/>
                <w:szCs w:val="22"/>
                <w:highlight w:val="none"/>
              </w:rPr>
              <w:t>墙体</w:t>
            </w:r>
          </w:p>
        </w:tc>
        <w:tc>
          <w:tcPr>
            <w:tcW w:w="3840" w:type="dxa"/>
            <w:tcBorders>
              <w:top w:val="single" w:color="000000" w:sz="8"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23F2CFD">
            <w:pPr>
              <w:spacing w:line="360" w:lineRule="exact"/>
              <w:jc w:val="center"/>
              <w:rPr>
                <w:rFonts w:asciiTheme="minorHAnsi" w:hAnsiTheme="minorHAnsi" w:cstheme="minorBidi"/>
                <w:szCs w:val="22"/>
                <w:highlight w:val="none"/>
              </w:rPr>
            </w:pPr>
            <w:r>
              <w:rPr>
                <w:rFonts w:ascii="宋体" w:hAnsi="宋体" w:eastAsia="宋体" w:cs="宋体"/>
                <w:color w:val="000000"/>
                <w:sz w:val="21"/>
                <w:szCs w:val="22"/>
                <w:highlight w:val="none"/>
              </w:rPr>
              <w:t>传热系数（</w:t>
            </w:r>
            <w:r>
              <w:rPr>
                <w:rFonts w:asciiTheme="minorHAnsi" w:hAnsiTheme="minorHAnsi" w:cstheme="minorBidi"/>
                <w:color w:val="000000"/>
                <w:sz w:val="21"/>
                <w:szCs w:val="22"/>
                <w:highlight w:val="none"/>
              </w:rPr>
              <w:t>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w:t>
            </w:r>
            <w:r>
              <w:rPr>
                <w:rFonts w:ascii="宋体" w:hAnsi="宋体" w:eastAsia="宋体" w:cs="宋体"/>
                <w:color w:val="000000"/>
                <w:sz w:val="21"/>
                <w:szCs w:val="22"/>
                <w:highlight w:val="none"/>
              </w:rPr>
              <w:t>）保温材料层厚度（</w:t>
            </w:r>
            <w:r>
              <w:rPr>
                <w:rFonts w:asciiTheme="minorHAnsi" w:hAnsiTheme="minorHAnsi" w:cstheme="minorBidi"/>
                <w:color w:val="000000"/>
                <w:sz w:val="21"/>
                <w:szCs w:val="22"/>
                <w:highlight w:val="none"/>
              </w:rPr>
              <w:t>mm</w:t>
            </w:r>
            <w:r>
              <w:rPr>
                <w:rFonts w:ascii="宋体" w:hAnsi="宋体" w:eastAsia="宋体" w:cs="宋体"/>
                <w:color w:val="000000"/>
                <w:sz w:val="21"/>
                <w:szCs w:val="22"/>
                <w:highlight w:val="none"/>
              </w:rPr>
              <w:t>）</w:t>
            </w:r>
          </w:p>
        </w:tc>
        <w:tc>
          <w:tcPr>
            <w:tcW w:w="3180" w:type="dxa"/>
            <w:tcBorders>
              <w:top w:val="single" w:color="000000" w:sz="8"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3FF9E404">
            <w:pPr>
              <w:spacing w:line="360" w:lineRule="exact"/>
              <w:rPr>
                <w:rFonts w:asciiTheme="minorHAnsi" w:hAnsiTheme="minorHAnsi" w:cstheme="minorBidi"/>
                <w:szCs w:val="22"/>
                <w:highlight w:val="none"/>
              </w:rPr>
            </w:pPr>
            <w:r>
              <w:rPr>
                <w:rFonts w:asciiTheme="minorHAnsi" w:hAnsiTheme="minorHAnsi" w:cstheme="minorBidi"/>
                <w:color w:val="000000"/>
                <w:sz w:val="21"/>
                <w:szCs w:val="22"/>
                <w:highlight w:val="none"/>
              </w:rPr>
              <w:t>0.76W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 ,  45mm</w:t>
            </w:r>
          </w:p>
        </w:tc>
      </w:tr>
      <w:tr w14:paraId="1D489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7DCDB1AC">
            <w:pPr>
              <w:rPr>
                <w:rFonts w:asciiTheme="minorHAnsi" w:hAnsiTheme="minorHAnsi" w:cstheme="minorBidi"/>
                <w:szCs w:val="22"/>
                <w:highlight w:val="none"/>
              </w:rPr>
            </w:pPr>
          </w:p>
        </w:tc>
        <w:tc>
          <w:tcPr>
            <w:tcW w:w="165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3A73F2F">
            <w:pPr>
              <w:jc w:val="center"/>
              <w:rPr>
                <w:rFonts w:asciiTheme="minorHAnsi" w:hAnsiTheme="minorHAnsi" w:cstheme="minorBidi"/>
                <w:szCs w:val="22"/>
                <w:highlight w:val="none"/>
              </w:rPr>
            </w:pPr>
            <w:r>
              <w:rPr>
                <w:rFonts w:ascii="宋体" w:hAnsi="宋体" w:eastAsia="宋体" w:cs="宋体"/>
                <w:color w:val="000000"/>
                <w:sz w:val="21"/>
                <w:szCs w:val="22"/>
                <w:highlight w:val="none"/>
              </w:rPr>
              <w:t>屋面</w:t>
            </w:r>
          </w:p>
        </w:tc>
        <w:tc>
          <w:tcPr>
            <w:tcW w:w="384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64C77BA">
            <w:pPr>
              <w:jc w:val="center"/>
              <w:rPr>
                <w:rFonts w:asciiTheme="minorHAnsi" w:hAnsiTheme="minorHAnsi" w:cstheme="minorBidi"/>
                <w:szCs w:val="22"/>
                <w:highlight w:val="none"/>
              </w:rPr>
            </w:pPr>
            <w:r>
              <w:rPr>
                <w:rFonts w:ascii="宋体" w:hAnsi="宋体" w:eastAsia="宋体" w:cs="宋体"/>
                <w:color w:val="000000"/>
                <w:sz w:val="21"/>
                <w:szCs w:val="22"/>
                <w:highlight w:val="none"/>
              </w:rPr>
              <w:t>传热系数（</w:t>
            </w:r>
            <w:r>
              <w:rPr>
                <w:rFonts w:asciiTheme="minorHAnsi" w:hAnsiTheme="minorHAnsi" w:cstheme="minorBidi"/>
                <w:color w:val="000000"/>
                <w:sz w:val="21"/>
                <w:szCs w:val="22"/>
                <w:highlight w:val="none"/>
              </w:rPr>
              <w:t>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w:t>
            </w:r>
            <w:r>
              <w:rPr>
                <w:rFonts w:ascii="宋体" w:hAnsi="宋体" w:eastAsia="宋体" w:cs="宋体"/>
                <w:color w:val="000000"/>
                <w:sz w:val="21"/>
                <w:szCs w:val="22"/>
                <w:highlight w:val="none"/>
              </w:rPr>
              <w:t>）保温材料层厚度（</w:t>
            </w:r>
            <w:r>
              <w:rPr>
                <w:rFonts w:asciiTheme="minorHAnsi" w:hAnsiTheme="minorHAnsi" w:cstheme="minorBidi"/>
                <w:color w:val="000000"/>
                <w:sz w:val="21"/>
                <w:szCs w:val="22"/>
                <w:highlight w:val="none"/>
              </w:rPr>
              <w:t>mm</w:t>
            </w:r>
            <w:r>
              <w:rPr>
                <w:rFonts w:ascii="宋体" w:hAnsi="宋体" w:eastAsia="宋体" w:cs="宋体"/>
                <w:color w:val="000000"/>
                <w:sz w:val="21"/>
                <w:szCs w:val="22"/>
                <w:highlight w:val="none"/>
              </w:rPr>
              <w:t>）</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EF07153">
            <w:pPr>
              <w:rPr>
                <w:rFonts w:asciiTheme="minorHAnsi" w:hAnsiTheme="minorHAnsi" w:cstheme="minorBidi"/>
                <w:szCs w:val="22"/>
                <w:highlight w:val="none"/>
              </w:rPr>
            </w:pPr>
            <w:r>
              <w:rPr>
                <w:rFonts w:asciiTheme="minorHAnsi" w:hAnsiTheme="minorHAnsi" w:cstheme="minorBidi"/>
                <w:color w:val="000000"/>
                <w:sz w:val="21"/>
                <w:szCs w:val="22"/>
                <w:highlight w:val="none"/>
              </w:rPr>
              <w:t>0.40W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 ,  105mm</w:t>
            </w:r>
          </w:p>
        </w:tc>
      </w:tr>
      <w:tr w14:paraId="1F836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72B46C0C">
            <w:pPr>
              <w:rPr>
                <w:rFonts w:asciiTheme="minorHAnsi" w:hAnsiTheme="minorHAnsi" w:cstheme="minorBidi"/>
                <w:szCs w:val="22"/>
                <w:highlight w:val="none"/>
              </w:rPr>
            </w:pPr>
          </w:p>
        </w:tc>
        <w:tc>
          <w:tcPr>
            <w:tcW w:w="165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BF5ACF1">
            <w:pPr>
              <w:jc w:val="center"/>
              <w:rPr>
                <w:rFonts w:asciiTheme="minorHAnsi" w:hAnsiTheme="minorHAnsi" w:cstheme="minorBidi"/>
                <w:szCs w:val="22"/>
                <w:highlight w:val="none"/>
              </w:rPr>
            </w:pPr>
            <w:r>
              <w:rPr>
                <w:rFonts w:ascii="宋体" w:hAnsi="宋体" w:eastAsia="宋体" w:cs="宋体"/>
                <w:color w:val="000000"/>
                <w:sz w:val="21"/>
                <w:szCs w:val="22"/>
                <w:highlight w:val="none"/>
              </w:rPr>
              <w:t>地面</w:t>
            </w:r>
          </w:p>
        </w:tc>
        <w:tc>
          <w:tcPr>
            <w:tcW w:w="384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6C12D9E6">
            <w:pPr>
              <w:jc w:val="center"/>
              <w:rPr>
                <w:rFonts w:asciiTheme="minorHAnsi" w:hAnsiTheme="minorHAnsi" w:cstheme="minorBidi"/>
                <w:szCs w:val="22"/>
                <w:highlight w:val="none"/>
              </w:rPr>
            </w:pPr>
            <w:r>
              <w:rPr>
                <w:rFonts w:ascii="宋体" w:hAnsi="宋体" w:eastAsia="宋体" w:cs="宋体"/>
                <w:color w:val="000000"/>
                <w:sz w:val="21"/>
                <w:szCs w:val="22"/>
                <w:highlight w:val="none"/>
              </w:rPr>
              <w:t>传热系数（</w:t>
            </w:r>
            <w:r>
              <w:rPr>
                <w:rFonts w:asciiTheme="minorHAnsi" w:hAnsiTheme="minorHAnsi" w:cstheme="minorBidi"/>
                <w:color w:val="000000"/>
                <w:sz w:val="21"/>
                <w:szCs w:val="22"/>
                <w:highlight w:val="none"/>
              </w:rPr>
              <w:t>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w:t>
            </w:r>
            <w:r>
              <w:rPr>
                <w:rFonts w:ascii="宋体" w:hAnsi="宋体" w:eastAsia="宋体" w:cs="宋体"/>
                <w:color w:val="000000"/>
                <w:sz w:val="21"/>
                <w:szCs w:val="22"/>
                <w:highlight w:val="none"/>
              </w:rPr>
              <w:t>）保温材料层厚度（</w:t>
            </w:r>
            <w:r>
              <w:rPr>
                <w:rFonts w:asciiTheme="minorHAnsi" w:hAnsiTheme="minorHAnsi" w:cstheme="minorBidi"/>
                <w:color w:val="000000"/>
                <w:sz w:val="21"/>
                <w:szCs w:val="22"/>
                <w:highlight w:val="none"/>
              </w:rPr>
              <w:t>mm</w:t>
            </w:r>
            <w:r>
              <w:rPr>
                <w:rFonts w:ascii="宋体" w:hAnsi="宋体" w:eastAsia="宋体" w:cs="宋体"/>
                <w:color w:val="000000"/>
                <w:sz w:val="21"/>
                <w:szCs w:val="22"/>
                <w:highlight w:val="none"/>
              </w:rPr>
              <w:t>）</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648EBEF8">
            <w:pPr>
              <w:rPr>
                <w:rFonts w:asciiTheme="minorHAnsi" w:hAnsiTheme="minorHAnsi" w:cstheme="minorBidi"/>
                <w:szCs w:val="22"/>
                <w:highlight w:val="none"/>
              </w:rPr>
            </w:pPr>
            <w:r>
              <w:rPr>
                <w:rFonts w:asciiTheme="minorHAnsi" w:hAnsiTheme="minorHAnsi" w:cstheme="minorBidi"/>
                <w:color w:val="000000"/>
                <w:sz w:val="21"/>
                <w:szCs w:val="22"/>
                <w:highlight w:val="none"/>
              </w:rPr>
              <w:t>1.13W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 ,  30mm</w:t>
            </w:r>
          </w:p>
        </w:tc>
      </w:tr>
      <w:tr w14:paraId="5944D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7B67FF93">
            <w:pPr>
              <w:rPr>
                <w:rFonts w:asciiTheme="minorHAnsi" w:hAnsiTheme="minorHAnsi" w:cstheme="minorBidi"/>
                <w:szCs w:val="22"/>
                <w:highlight w:val="none"/>
              </w:rPr>
            </w:pPr>
          </w:p>
        </w:tc>
        <w:tc>
          <w:tcPr>
            <w:tcW w:w="1650" w:type="dxa"/>
            <w:vMerge w:val="restart"/>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46FCED39">
            <w:pPr>
              <w:jc w:val="center"/>
              <w:rPr>
                <w:rFonts w:asciiTheme="minorHAnsi" w:hAnsiTheme="minorHAnsi" w:cstheme="minorBidi"/>
                <w:szCs w:val="22"/>
                <w:highlight w:val="none"/>
              </w:rPr>
            </w:pPr>
            <w:r>
              <w:rPr>
                <w:rFonts w:ascii="宋体" w:hAnsi="宋体" w:eastAsia="宋体" w:cs="宋体"/>
                <w:color w:val="000000"/>
                <w:sz w:val="21"/>
                <w:szCs w:val="22"/>
                <w:highlight w:val="none"/>
              </w:rPr>
              <w:t>门窗</w:t>
            </w:r>
          </w:p>
        </w:tc>
        <w:tc>
          <w:tcPr>
            <w:tcW w:w="384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7BC52BC4">
            <w:pPr>
              <w:jc w:val="center"/>
              <w:rPr>
                <w:rFonts w:asciiTheme="minorHAnsi" w:hAnsiTheme="minorHAnsi" w:cstheme="minorBidi"/>
                <w:szCs w:val="22"/>
                <w:highlight w:val="none"/>
              </w:rPr>
            </w:pPr>
            <w:r>
              <w:rPr>
                <w:rFonts w:ascii="宋体" w:hAnsi="宋体" w:eastAsia="宋体" w:cs="宋体"/>
                <w:color w:val="000000"/>
                <w:sz w:val="21"/>
                <w:szCs w:val="22"/>
                <w:highlight w:val="none"/>
              </w:rPr>
              <w:t>传热系数</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00F0055B">
            <w:pPr>
              <w:rPr>
                <w:rFonts w:asciiTheme="minorHAnsi" w:hAnsiTheme="minorHAnsi" w:cstheme="minorBidi"/>
                <w:szCs w:val="22"/>
                <w:highlight w:val="none"/>
              </w:rPr>
            </w:pPr>
            <w:r>
              <w:rPr>
                <w:rFonts w:asciiTheme="minorHAnsi" w:hAnsiTheme="minorHAnsi" w:cstheme="minorBidi"/>
                <w:color w:val="000000"/>
                <w:sz w:val="21"/>
                <w:szCs w:val="22"/>
                <w:highlight w:val="none"/>
              </w:rPr>
              <w:t>1.80W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w:t>
            </w:r>
          </w:p>
        </w:tc>
      </w:tr>
      <w:tr w14:paraId="540B0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737498BD">
            <w:pPr>
              <w:rPr>
                <w:rFonts w:asciiTheme="minorHAnsi" w:hAnsiTheme="minorHAnsi" w:cstheme="minorBidi"/>
                <w:szCs w:val="22"/>
                <w:highlight w:val="none"/>
              </w:rPr>
            </w:pPr>
          </w:p>
        </w:tc>
        <w:tc>
          <w:tcPr>
            <w:tcW w:w="1650" w:type="dxa"/>
            <w:vMerge w:val="continue"/>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4AB4666E">
            <w:pPr>
              <w:rPr>
                <w:rFonts w:asciiTheme="minorHAnsi" w:hAnsiTheme="minorHAnsi" w:cstheme="minorBidi"/>
                <w:szCs w:val="22"/>
                <w:highlight w:val="none"/>
              </w:rPr>
            </w:pPr>
          </w:p>
        </w:tc>
        <w:tc>
          <w:tcPr>
            <w:tcW w:w="384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EBB44DB">
            <w:pPr>
              <w:jc w:val="center"/>
              <w:rPr>
                <w:rFonts w:asciiTheme="minorHAnsi" w:hAnsiTheme="minorHAnsi" w:cstheme="minorBidi"/>
                <w:szCs w:val="22"/>
                <w:highlight w:val="none"/>
              </w:rPr>
            </w:pPr>
            <w:r>
              <w:rPr>
                <w:rFonts w:ascii="宋体" w:hAnsi="宋体" w:eastAsia="宋体" w:cs="宋体"/>
                <w:color w:val="000000"/>
                <w:sz w:val="21"/>
                <w:szCs w:val="22"/>
                <w:highlight w:val="none"/>
              </w:rPr>
              <w:t>综合遮阳系数</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4914DC19">
            <w:pPr>
              <w:jc w:val="left"/>
              <w:rPr>
                <w:rFonts w:asciiTheme="minorHAnsi" w:hAnsiTheme="minorHAnsi" w:cstheme="minorBidi"/>
                <w:szCs w:val="22"/>
                <w:highlight w:val="none"/>
              </w:rPr>
            </w:pPr>
            <w:r>
              <w:rPr>
                <w:rFonts w:asciiTheme="minorHAnsi" w:hAnsiTheme="minorHAnsi" w:cstheme="minorBidi"/>
                <w:color w:val="000000"/>
                <w:sz w:val="21"/>
                <w:szCs w:val="22"/>
                <w:highlight w:val="none"/>
              </w:rPr>
              <w:t>0.501</w:t>
            </w:r>
          </w:p>
        </w:tc>
      </w:tr>
      <w:tr w14:paraId="6370E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7C1FC708">
            <w:pPr>
              <w:rPr>
                <w:rFonts w:asciiTheme="minorHAnsi" w:hAnsiTheme="minorHAnsi" w:cstheme="minorBidi"/>
                <w:szCs w:val="22"/>
                <w:highlight w:val="none"/>
              </w:rPr>
            </w:pPr>
          </w:p>
        </w:tc>
        <w:tc>
          <w:tcPr>
            <w:tcW w:w="1650" w:type="dxa"/>
            <w:vMerge w:val="continue"/>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3BD269F">
            <w:pPr>
              <w:rPr>
                <w:rFonts w:asciiTheme="minorHAnsi" w:hAnsiTheme="minorHAnsi" w:cstheme="minorBidi"/>
                <w:szCs w:val="22"/>
                <w:highlight w:val="none"/>
              </w:rPr>
            </w:pPr>
          </w:p>
        </w:tc>
        <w:tc>
          <w:tcPr>
            <w:tcW w:w="384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281AF91">
            <w:pPr>
              <w:jc w:val="center"/>
              <w:rPr>
                <w:rFonts w:asciiTheme="minorHAnsi" w:hAnsiTheme="minorHAnsi" w:cstheme="minorBidi"/>
                <w:szCs w:val="22"/>
                <w:highlight w:val="none"/>
              </w:rPr>
            </w:pPr>
            <w:r>
              <w:rPr>
                <w:rFonts w:ascii="宋体" w:hAnsi="宋体" w:eastAsia="宋体" w:cs="宋体"/>
                <w:color w:val="000000"/>
                <w:sz w:val="21"/>
                <w:szCs w:val="22"/>
                <w:highlight w:val="none"/>
              </w:rPr>
              <w:t>节能性能标识</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2A38011">
            <w:pPr>
              <w:rPr>
                <w:rFonts w:asciiTheme="minorHAnsi" w:hAnsiTheme="minorHAnsi" w:cstheme="minorBidi"/>
                <w:szCs w:val="22"/>
                <w:highlight w:val="none"/>
              </w:rPr>
            </w:pPr>
            <w:r>
              <w:rPr>
                <w:rFonts w:ascii="宋体" w:hAnsi="宋体" w:eastAsia="宋体" w:cs="宋体"/>
                <w:color w:val="000000"/>
                <w:sz w:val="21"/>
                <w:szCs w:val="22"/>
                <w:highlight w:val="none"/>
              </w:rPr>
              <w:t>断热桥铝合金中空玻璃窗</w:t>
            </w:r>
          </w:p>
        </w:tc>
      </w:tr>
      <w:tr w14:paraId="5483C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09F1BCE1">
            <w:pPr>
              <w:jc w:val="center"/>
              <w:rPr>
                <w:rFonts w:asciiTheme="minorHAnsi" w:hAnsiTheme="minorHAnsi" w:cstheme="minorBidi"/>
                <w:szCs w:val="22"/>
                <w:highlight w:val="none"/>
              </w:rPr>
            </w:pPr>
            <w:r>
              <w:rPr>
                <w:rFonts w:ascii="宋体" w:hAnsi="宋体" w:eastAsia="宋体" w:cs="宋体"/>
                <w:color w:val="000000"/>
                <w:sz w:val="21"/>
                <w:szCs w:val="22"/>
                <w:highlight w:val="none"/>
              </w:rPr>
              <w:t>供热系统</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571F124">
            <w:pPr>
              <w:jc w:val="center"/>
              <w:rPr>
                <w:rFonts w:asciiTheme="minorHAnsi" w:hAnsiTheme="minorHAnsi" w:cstheme="minorBidi"/>
                <w:szCs w:val="22"/>
                <w:highlight w:val="none"/>
              </w:rPr>
            </w:pPr>
            <w:r>
              <w:rPr>
                <w:rFonts w:ascii="宋体" w:hAnsi="宋体" w:eastAsia="宋体" w:cs="宋体"/>
                <w:color w:val="000000"/>
                <w:sz w:val="21"/>
                <w:szCs w:val="22"/>
                <w:highlight w:val="none"/>
              </w:rPr>
              <w:t>室内采暖形式</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3A42CD44">
            <w:pPr>
              <w:rPr>
                <w:rFonts w:asciiTheme="minorHAnsi" w:hAnsiTheme="minorHAnsi" w:cstheme="minorBidi"/>
                <w:szCs w:val="22"/>
                <w:highlight w:val="none"/>
              </w:rPr>
            </w:pPr>
            <w:r>
              <w:rPr>
                <w:rFonts w:ascii="宋体" w:hAnsi="宋体" w:eastAsia="宋体" w:cs="宋体"/>
                <w:color w:val="000000"/>
                <w:sz w:val="21"/>
                <w:szCs w:val="22"/>
                <w:highlight w:val="none"/>
              </w:rPr>
              <w:t>地面辐射供暖</w:t>
            </w:r>
          </w:p>
        </w:tc>
      </w:tr>
      <w:tr w14:paraId="3E4AB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11F8CD7F">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7A760D68">
            <w:pPr>
              <w:jc w:val="center"/>
              <w:rPr>
                <w:rFonts w:asciiTheme="minorHAnsi" w:hAnsiTheme="minorHAnsi" w:cstheme="minorBidi"/>
                <w:szCs w:val="22"/>
                <w:highlight w:val="none"/>
              </w:rPr>
            </w:pPr>
            <w:r>
              <w:rPr>
                <w:rFonts w:ascii="宋体" w:hAnsi="宋体" w:eastAsia="宋体" w:cs="宋体"/>
                <w:color w:val="000000"/>
                <w:sz w:val="21"/>
                <w:szCs w:val="22"/>
                <w:highlight w:val="none"/>
              </w:rPr>
              <w:t>热计量方式</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8D7DFBF">
            <w:pPr>
              <w:rPr>
                <w:rFonts w:asciiTheme="minorHAnsi" w:hAnsiTheme="minorHAnsi" w:cstheme="minorBidi"/>
                <w:szCs w:val="22"/>
                <w:highlight w:val="none"/>
              </w:rPr>
            </w:pPr>
            <w:r>
              <w:rPr>
                <w:rFonts w:ascii="宋体" w:hAnsi="宋体" w:eastAsia="宋体" w:cs="宋体"/>
                <w:color w:val="000000"/>
                <w:sz w:val="21"/>
                <w:szCs w:val="22"/>
                <w:highlight w:val="none"/>
              </w:rPr>
              <w:t>户用热计量表法</w:t>
            </w:r>
          </w:p>
        </w:tc>
      </w:tr>
      <w:tr w14:paraId="3A531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08B3BE7D">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9E31142">
            <w:pPr>
              <w:jc w:val="center"/>
              <w:rPr>
                <w:rFonts w:asciiTheme="minorHAnsi" w:hAnsiTheme="minorHAnsi" w:cstheme="minorBidi"/>
                <w:szCs w:val="22"/>
                <w:highlight w:val="none"/>
              </w:rPr>
            </w:pPr>
            <w:r>
              <w:rPr>
                <w:rFonts w:ascii="宋体" w:hAnsi="宋体" w:eastAsia="宋体" w:cs="宋体"/>
                <w:color w:val="000000"/>
                <w:sz w:val="21"/>
                <w:szCs w:val="22"/>
                <w:highlight w:val="none"/>
              </w:rPr>
              <w:t>系统调节装置</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7A2AAA79">
            <w:pPr>
              <w:rPr>
                <w:rFonts w:asciiTheme="minorHAnsi" w:hAnsiTheme="minorHAnsi" w:cstheme="minorBidi"/>
                <w:szCs w:val="22"/>
                <w:highlight w:val="none"/>
              </w:rPr>
            </w:pPr>
            <w:r>
              <w:rPr>
                <w:rFonts w:ascii="宋体" w:hAnsi="宋体" w:eastAsia="宋体" w:cs="宋体"/>
                <w:color w:val="000000"/>
                <w:sz w:val="21"/>
                <w:szCs w:val="22"/>
                <w:highlight w:val="none"/>
              </w:rPr>
              <w:t>静态水力平衡阀</w:t>
            </w:r>
          </w:p>
        </w:tc>
      </w:tr>
      <w:tr w14:paraId="03F20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6AE7A87E">
            <w:pPr>
              <w:jc w:val="center"/>
              <w:rPr>
                <w:rFonts w:asciiTheme="minorHAnsi" w:hAnsiTheme="minorHAnsi" w:cstheme="minorBidi"/>
                <w:szCs w:val="22"/>
                <w:highlight w:val="none"/>
              </w:rPr>
            </w:pPr>
            <w:r>
              <w:rPr>
                <w:rFonts w:ascii="宋体" w:hAnsi="宋体" w:eastAsia="宋体" w:cs="宋体"/>
                <w:color w:val="000000"/>
                <w:sz w:val="21"/>
                <w:szCs w:val="22"/>
                <w:highlight w:val="none"/>
              </w:rPr>
              <w:t>空调系统</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3FA7677B">
            <w:pPr>
              <w:jc w:val="center"/>
              <w:rPr>
                <w:rFonts w:asciiTheme="minorHAnsi" w:hAnsiTheme="minorHAnsi" w:cstheme="minorBidi"/>
                <w:szCs w:val="22"/>
                <w:highlight w:val="none"/>
              </w:rPr>
            </w:pPr>
            <w:r>
              <w:rPr>
                <w:rFonts w:ascii="宋体" w:hAnsi="宋体" w:eastAsia="宋体" w:cs="宋体"/>
                <w:color w:val="000000"/>
                <w:sz w:val="21"/>
                <w:szCs w:val="22"/>
                <w:highlight w:val="none"/>
              </w:rPr>
              <w:t>冷源机组类型</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0495D496">
            <w:pPr>
              <w:rPr>
                <w:rFonts w:asciiTheme="minorHAnsi" w:hAnsiTheme="minorHAnsi" w:cstheme="minorBidi"/>
                <w:szCs w:val="22"/>
                <w:highlight w:val="none"/>
              </w:rPr>
            </w:pPr>
            <w:r>
              <w:rPr>
                <w:rFonts w:ascii="宋体" w:hAnsi="宋体" w:eastAsia="宋体" w:cs="宋体"/>
                <w:color w:val="000000"/>
                <w:sz w:val="21"/>
                <w:szCs w:val="22"/>
                <w:highlight w:val="none"/>
              </w:rPr>
              <w:t>多联机</w:t>
            </w:r>
          </w:p>
        </w:tc>
      </w:tr>
      <w:tr w14:paraId="17101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6F2C1A97">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6B9F6F23">
            <w:pPr>
              <w:jc w:val="center"/>
              <w:rPr>
                <w:rFonts w:asciiTheme="minorHAnsi" w:hAnsiTheme="minorHAnsi" w:cstheme="minorBidi"/>
                <w:szCs w:val="22"/>
                <w:highlight w:val="none"/>
              </w:rPr>
            </w:pPr>
            <w:r>
              <w:rPr>
                <w:rFonts w:ascii="宋体" w:hAnsi="宋体" w:eastAsia="宋体" w:cs="宋体"/>
                <w:color w:val="000000"/>
                <w:sz w:val="21"/>
                <w:szCs w:val="22"/>
                <w:highlight w:val="none"/>
              </w:rPr>
              <w:t>能效比</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74AC73A4">
            <w:pPr>
              <w:rPr>
                <w:rFonts w:asciiTheme="minorHAnsi" w:hAnsiTheme="minorHAnsi" w:cstheme="minorBidi"/>
                <w:szCs w:val="22"/>
                <w:highlight w:val="none"/>
              </w:rPr>
            </w:pPr>
            <w:r>
              <w:rPr>
                <w:rFonts w:asciiTheme="minorHAnsi" w:hAnsiTheme="minorHAnsi" w:cstheme="minorBidi"/>
                <w:color w:val="000000"/>
                <w:sz w:val="21"/>
                <w:szCs w:val="22"/>
                <w:highlight w:val="none"/>
              </w:rPr>
              <w:t>APF</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4.3</w:t>
            </w:r>
          </w:p>
        </w:tc>
      </w:tr>
      <w:tr w14:paraId="2EBE4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677C34B4">
            <w:pPr>
              <w:jc w:val="center"/>
              <w:rPr>
                <w:rFonts w:asciiTheme="minorHAnsi" w:hAnsiTheme="minorHAnsi" w:cstheme="minorBidi"/>
                <w:szCs w:val="22"/>
                <w:highlight w:val="none"/>
              </w:rPr>
            </w:pPr>
            <w:r>
              <w:rPr>
                <w:rFonts w:ascii="宋体" w:hAnsi="宋体" w:eastAsia="宋体" w:cs="宋体"/>
                <w:color w:val="000000"/>
                <w:sz w:val="21"/>
                <w:szCs w:val="22"/>
                <w:highlight w:val="none"/>
              </w:rPr>
              <w:t>热水利用</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3174F042">
            <w:pPr>
              <w:jc w:val="center"/>
              <w:rPr>
                <w:rFonts w:asciiTheme="minorHAnsi" w:hAnsiTheme="minorHAnsi" w:cstheme="minorBidi"/>
                <w:szCs w:val="22"/>
                <w:highlight w:val="none"/>
              </w:rPr>
            </w:pPr>
            <w:r>
              <w:rPr>
                <w:rFonts w:ascii="宋体" w:hAnsi="宋体" w:eastAsia="宋体" w:cs="宋体"/>
                <w:color w:val="000000"/>
                <w:sz w:val="21"/>
                <w:szCs w:val="22"/>
                <w:highlight w:val="none"/>
              </w:rPr>
              <w:t>供应方式</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F86806C">
            <w:pPr>
              <w:jc w:val="center"/>
              <w:rPr>
                <w:rFonts w:asciiTheme="minorHAnsi" w:hAnsiTheme="minorHAnsi" w:cstheme="minorBidi"/>
                <w:szCs w:val="22"/>
                <w:highlight w:val="none"/>
              </w:rPr>
            </w:pPr>
            <w:r>
              <w:rPr>
                <w:rFonts w:ascii="宋体" w:hAnsi="宋体" w:eastAsia="宋体" w:cs="宋体"/>
                <w:color w:val="000000"/>
                <w:sz w:val="21"/>
                <w:szCs w:val="22"/>
                <w:highlight w:val="none"/>
              </w:rPr>
              <w:t>分散供应</w:t>
            </w:r>
          </w:p>
        </w:tc>
      </w:tr>
      <w:tr w14:paraId="300B3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1DCA5AA9">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4B41B12A">
            <w:pPr>
              <w:jc w:val="center"/>
              <w:rPr>
                <w:rFonts w:asciiTheme="minorHAnsi" w:hAnsiTheme="minorHAnsi" w:cstheme="minorBidi"/>
                <w:szCs w:val="22"/>
                <w:highlight w:val="none"/>
              </w:rPr>
            </w:pPr>
            <w:r>
              <w:rPr>
                <w:rFonts w:ascii="宋体" w:hAnsi="宋体" w:eastAsia="宋体" w:cs="宋体"/>
                <w:color w:val="000000"/>
                <w:sz w:val="21"/>
                <w:szCs w:val="22"/>
                <w:highlight w:val="none"/>
              </w:rPr>
              <w:t>用能类型</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4D0CC240">
            <w:pPr>
              <w:rPr>
                <w:rFonts w:asciiTheme="minorHAnsi" w:hAnsiTheme="minorHAnsi" w:cstheme="minorBidi"/>
                <w:szCs w:val="22"/>
                <w:highlight w:val="none"/>
              </w:rPr>
            </w:pPr>
            <w:r>
              <w:rPr>
                <w:rFonts w:ascii="宋体" w:hAnsi="宋体" w:eastAsia="宋体" w:cs="宋体"/>
                <w:color w:val="000000"/>
                <w:sz w:val="21"/>
                <w:szCs w:val="22"/>
                <w:highlight w:val="none"/>
              </w:rPr>
              <w:t>燃气、太阳能</w:t>
            </w:r>
          </w:p>
        </w:tc>
      </w:tr>
      <w:tr w14:paraId="6E27F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2C415D14">
            <w:pPr>
              <w:jc w:val="center"/>
              <w:rPr>
                <w:rFonts w:asciiTheme="minorHAnsi" w:hAnsiTheme="minorHAnsi" w:cstheme="minorBidi"/>
                <w:szCs w:val="22"/>
                <w:highlight w:val="none"/>
              </w:rPr>
            </w:pPr>
            <w:r>
              <w:rPr>
                <w:rFonts w:ascii="宋体" w:hAnsi="宋体" w:eastAsia="宋体" w:cs="宋体"/>
                <w:color w:val="000000"/>
                <w:sz w:val="21"/>
                <w:szCs w:val="22"/>
                <w:highlight w:val="none"/>
              </w:rPr>
              <w:t>照明</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49885957">
            <w:pPr>
              <w:jc w:val="center"/>
              <w:rPr>
                <w:rFonts w:asciiTheme="minorHAnsi" w:hAnsiTheme="minorHAnsi" w:cstheme="minorBidi"/>
                <w:szCs w:val="22"/>
                <w:highlight w:val="none"/>
              </w:rPr>
            </w:pPr>
            <w:r>
              <w:rPr>
                <w:rFonts w:ascii="宋体" w:hAnsi="宋体" w:eastAsia="宋体" w:cs="宋体"/>
                <w:color w:val="000000"/>
                <w:sz w:val="21"/>
                <w:szCs w:val="22"/>
                <w:highlight w:val="none"/>
              </w:rPr>
              <w:t>照度</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tcPr>
          <w:p w14:paraId="622A5BB4">
            <w:pPr>
              <w:rPr>
                <w:rFonts w:asciiTheme="minorHAnsi" w:hAnsiTheme="minorHAnsi" w:cstheme="minorBidi"/>
                <w:szCs w:val="22"/>
                <w:highlight w:val="none"/>
              </w:rPr>
            </w:pPr>
            <w:r>
              <w:rPr>
                <w:rFonts w:ascii="宋体" w:hAnsi="宋体" w:eastAsia="宋体" w:cs="宋体"/>
                <w:color w:val="000000"/>
                <w:sz w:val="21"/>
                <w:szCs w:val="22"/>
                <w:highlight w:val="none"/>
              </w:rPr>
              <w:t>起居室、厨房、卫生间</w:t>
            </w:r>
            <w:r>
              <w:rPr>
                <w:rFonts w:asciiTheme="minorHAnsi" w:hAnsiTheme="minorHAnsi" w:cstheme="minorBidi"/>
                <w:color w:val="000000"/>
                <w:sz w:val="21"/>
                <w:szCs w:val="22"/>
                <w:highlight w:val="none"/>
              </w:rPr>
              <w:t>100Lx,</w:t>
            </w:r>
            <w:r>
              <w:rPr>
                <w:rFonts w:ascii="宋体" w:hAnsi="宋体" w:eastAsia="宋体" w:cs="宋体"/>
                <w:color w:val="000000"/>
                <w:sz w:val="21"/>
                <w:szCs w:val="22"/>
                <w:highlight w:val="none"/>
              </w:rPr>
              <w:t>卧室</w:t>
            </w:r>
            <w:r>
              <w:rPr>
                <w:rFonts w:asciiTheme="minorHAnsi" w:hAnsiTheme="minorHAnsi" w:cstheme="minorBidi"/>
                <w:color w:val="000000"/>
                <w:sz w:val="21"/>
                <w:szCs w:val="22"/>
                <w:highlight w:val="none"/>
              </w:rPr>
              <w:t>75Lx,</w:t>
            </w:r>
            <w:r>
              <w:rPr>
                <w:rFonts w:ascii="宋体" w:hAnsi="宋体" w:eastAsia="宋体" w:cs="宋体"/>
                <w:color w:val="000000"/>
                <w:sz w:val="21"/>
                <w:szCs w:val="22"/>
                <w:highlight w:val="none"/>
              </w:rPr>
              <w:t>餐厅</w:t>
            </w:r>
            <w:r>
              <w:rPr>
                <w:rFonts w:asciiTheme="minorHAnsi" w:hAnsiTheme="minorHAnsi" w:cstheme="minorBidi"/>
                <w:color w:val="000000"/>
                <w:sz w:val="21"/>
                <w:szCs w:val="22"/>
                <w:highlight w:val="none"/>
              </w:rPr>
              <w:t>150Lx,</w:t>
            </w:r>
            <w:r>
              <w:rPr>
                <w:rFonts w:ascii="宋体" w:hAnsi="宋体" w:eastAsia="宋体" w:cs="宋体"/>
                <w:color w:val="000000"/>
                <w:sz w:val="21"/>
                <w:szCs w:val="22"/>
                <w:highlight w:val="none"/>
              </w:rPr>
              <w:t>走廊、楼梯间</w:t>
            </w:r>
            <w:r>
              <w:rPr>
                <w:rFonts w:asciiTheme="minorHAnsi" w:hAnsiTheme="minorHAnsi" w:cstheme="minorBidi"/>
                <w:color w:val="000000"/>
                <w:sz w:val="21"/>
                <w:szCs w:val="22"/>
                <w:highlight w:val="none"/>
              </w:rPr>
              <w:t>100Lx</w:t>
            </w:r>
          </w:p>
        </w:tc>
      </w:tr>
      <w:tr w14:paraId="26C1D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1C41A4F0">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E3EA2CA">
            <w:pPr>
              <w:jc w:val="center"/>
              <w:rPr>
                <w:rFonts w:asciiTheme="minorHAnsi" w:hAnsiTheme="minorHAnsi" w:cstheme="minorBidi"/>
                <w:szCs w:val="22"/>
                <w:highlight w:val="none"/>
              </w:rPr>
            </w:pPr>
            <w:r>
              <w:rPr>
                <w:rFonts w:ascii="宋体" w:hAnsi="宋体" w:eastAsia="宋体" w:cs="宋体"/>
                <w:color w:val="000000"/>
                <w:sz w:val="21"/>
                <w:szCs w:val="22"/>
                <w:highlight w:val="none"/>
              </w:rPr>
              <w:t>功率密度</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tcPr>
          <w:p w14:paraId="783CCD7E">
            <w:pPr>
              <w:rPr>
                <w:rFonts w:asciiTheme="minorHAnsi" w:hAnsiTheme="minorHAnsi" w:cstheme="minorBidi"/>
                <w:szCs w:val="22"/>
                <w:highlight w:val="none"/>
              </w:rPr>
            </w:pP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4.0W/</w:t>
            </w:r>
            <w:r>
              <w:rPr>
                <w:rFonts w:ascii="宋体" w:hAnsi="宋体" w:eastAsia="宋体" w:cs="宋体"/>
                <w:color w:val="000000"/>
                <w:sz w:val="21"/>
                <w:szCs w:val="22"/>
                <w:highlight w:val="none"/>
              </w:rPr>
              <w:t>㎡</w:t>
            </w:r>
          </w:p>
        </w:tc>
      </w:tr>
      <w:tr w14:paraId="158FF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3A866A70">
            <w:pPr>
              <w:jc w:val="center"/>
              <w:rPr>
                <w:rFonts w:asciiTheme="minorHAnsi" w:hAnsiTheme="minorHAnsi" w:cstheme="minorBidi"/>
                <w:szCs w:val="22"/>
                <w:highlight w:val="none"/>
              </w:rPr>
            </w:pPr>
            <w:r>
              <w:rPr>
                <w:rFonts w:ascii="宋体" w:hAnsi="宋体" w:eastAsia="宋体" w:cs="宋体"/>
                <w:color w:val="000000"/>
                <w:sz w:val="21"/>
                <w:szCs w:val="22"/>
                <w:highlight w:val="none"/>
              </w:rPr>
              <w:t>可再生能源利用</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0660A268">
            <w:pPr>
              <w:jc w:val="center"/>
              <w:rPr>
                <w:rFonts w:asciiTheme="minorHAnsi" w:hAnsiTheme="minorHAnsi" w:cstheme="minorBidi"/>
                <w:szCs w:val="22"/>
                <w:highlight w:val="none"/>
              </w:rPr>
            </w:pPr>
            <w:r>
              <w:rPr>
                <w:rFonts w:ascii="宋体" w:hAnsi="宋体" w:eastAsia="宋体" w:cs="宋体"/>
                <w:color w:val="000000"/>
                <w:sz w:val="21"/>
                <w:szCs w:val="22"/>
                <w:highlight w:val="none"/>
              </w:rPr>
              <w:t>利用形式</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464BC384">
            <w:pPr>
              <w:rPr>
                <w:rFonts w:asciiTheme="minorHAnsi" w:hAnsiTheme="minorHAnsi" w:cstheme="minorBidi"/>
                <w:szCs w:val="22"/>
                <w:highlight w:val="none"/>
              </w:rPr>
            </w:pPr>
            <w:r>
              <w:rPr>
                <w:rFonts w:ascii="宋体" w:hAnsi="宋体" w:eastAsia="宋体" w:cs="宋体"/>
                <w:color w:val="000000"/>
                <w:sz w:val="21"/>
                <w:szCs w:val="22"/>
                <w:highlight w:val="none"/>
              </w:rPr>
              <w:t>太阳能光热</w:t>
            </w:r>
          </w:p>
        </w:tc>
      </w:tr>
      <w:tr w14:paraId="48625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0BB5A73A">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6BCEC4A7">
            <w:pPr>
              <w:jc w:val="center"/>
              <w:rPr>
                <w:rFonts w:asciiTheme="minorHAnsi" w:hAnsiTheme="minorHAnsi" w:cstheme="minorBidi"/>
                <w:szCs w:val="22"/>
                <w:highlight w:val="none"/>
              </w:rPr>
            </w:pPr>
            <w:r>
              <w:rPr>
                <w:rFonts w:ascii="宋体" w:hAnsi="宋体" w:eastAsia="宋体" w:cs="宋体"/>
                <w:color w:val="000000"/>
                <w:sz w:val="21"/>
                <w:szCs w:val="22"/>
                <w:highlight w:val="none"/>
              </w:rPr>
              <w:t>保证率</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BC4C60E">
            <w:pPr>
              <w:jc w:val="center"/>
              <w:rPr>
                <w:rFonts w:asciiTheme="minorHAnsi" w:hAnsiTheme="minorHAnsi" w:cstheme="minorBidi"/>
                <w:szCs w:val="22"/>
                <w:highlight w:val="none"/>
              </w:rPr>
            </w:pPr>
            <w:r>
              <w:rPr>
                <w:rFonts w:asciiTheme="minorHAnsi" w:hAnsiTheme="minorHAnsi" w:cstheme="minorBidi"/>
                <w:color w:val="000000"/>
                <w:sz w:val="21"/>
                <w:szCs w:val="22"/>
                <w:highlight w:val="none"/>
              </w:rPr>
              <w:t>45%</w:t>
            </w:r>
          </w:p>
        </w:tc>
      </w:tr>
      <w:tr w14:paraId="669DB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40CE246D">
            <w:pPr>
              <w:jc w:val="center"/>
              <w:rPr>
                <w:rFonts w:asciiTheme="minorHAnsi" w:hAnsiTheme="minorHAnsi" w:cstheme="minorBidi"/>
                <w:szCs w:val="22"/>
                <w:highlight w:val="none"/>
              </w:rPr>
            </w:pPr>
            <w:r>
              <w:rPr>
                <w:rFonts w:ascii="宋体" w:hAnsi="宋体" w:eastAsia="宋体" w:cs="宋体"/>
                <w:color w:val="000000"/>
                <w:sz w:val="21"/>
                <w:szCs w:val="22"/>
                <w:highlight w:val="none"/>
              </w:rPr>
              <w:t>建筑能源利用效率</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3ED226B2">
            <w:pPr>
              <w:jc w:val="center"/>
              <w:rPr>
                <w:rFonts w:asciiTheme="minorHAnsi" w:hAnsiTheme="minorHAnsi" w:cstheme="minorBidi"/>
                <w:szCs w:val="22"/>
                <w:highlight w:val="none"/>
              </w:rPr>
            </w:pPr>
            <w:r>
              <w:rPr>
                <w:rFonts w:ascii="宋体" w:hAnsi="宋体" w:eastAsia="宋体" w:cs="宋体"/>
                <w:color w:val="000000"/>
                <w:sz w:val="21"/>
                <w:szCs w:val="22"/>
                <w:highlight w:val="none"/>
              </w:rPr>
              <w:t>本建筑的节能率与建筑节能标准比较情况</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8F1D9C1">
            <w:pPr>
              <w:rPr>
                <w:rFonts w:asciiTheme="minorHAnsi" w:hAnsiTheme="minorHAnsi" w:cstheme="minorBidi"/>
                <w:szCs w:val="22"/>
                <w:highlight w:val="none"/>
              </w:rPr>
            </w:pPr>
            <w:r>
              <w:rPr>
                <w:rFonts w:ascii="宋体" w:hAnsi="宋体" w:eastAsia="宋体" w:cs="宋体"/>
                <w:color w:val="000000"/>
                <w:sz w:val="21"/>
                <w:szCs w:val="22"/>
                <w:highlight w:val="none"/>
              </w:rPr>
              <w:t>满足标准规定</w:t>
            </w:r>
          </w:p>
        </w:tc>
      </w:tr>
    </w:tbl>
    <w:p w14:paraId="19B92769">
      <w:pPr>
        <w:rPr>
          <w:highlight w:val="none"/>
        </w:rPr>
      </w:pPr>
      <w:r>
        <w:rPr>
          <w:rFonts w:ascii="宋体" w:hAnsi="宋体" w:eastAsia="宋体" w:cs="宋体"/>
          <w:color w:val="000000"/>
          <w:sz w:val="21"/>
          <w:highlight w:val="none"/>
        </w:rPr>
        <w:t>填表内容说明：</w:t>
      </w:r>
    </w:p>
    <w:p w14:paraId="0199740B">
      <w:pPr>
        <w:ind w:firstLine="420" w:firstLineChars="200"/>
        <w:rPr>
          <w:highlight w:val="none"/>
        </w:rPr>
      </w:pPr>
      <w:r>
        <w:rPr>
          <w:rFonts w:ascii="宋体" w:hAnsi="宋体" w:eastAsia="宋体" w:cs="宋体"/>
          <w:color w:val="000000"/>
          <w:sz w:val="21"/>
          <w:highlight w:val="none"/>
        </w:rPr>
        <w:t>一、本表所填内容应与建筑节能报审表、经审查合格的节能设计文件一致；</w:t>
      </w:r>
    </w:p>
    <w:p w14:paraId="1D2FAEBC">
      <w:pPr>
        <w:ind w:firstLine="420" w:firstLineChars="200"/>
        <w:rPr>
          <w:highlight w:val="none"/>
        </w:rPr>
      </w:pPr>
      <w:r>
        <w:rPr>
          <w:rFonts w:ascii="宋体" w:hAnsi="宋体" w:eastAsia="宋体" w:cs="宋体"/>
          <w:color w:val="000000"/>
          <w:sz w:val="21"/>
          <w:highlight w:val="none"/>
        </w:rPr>
        <w:t>二、门窗类型包括：断热桥铝合金中空玻璃窗、断热桥铝合金</w:t>
      </w:r>
      <w:r>
        <w:rPr>
          <w:color w:val="000000"/>
          <w:sz w:val="21"/>
          <w:highlight w:val="none"/>
        </w:rPr>
        <w:t>LOW-E</w:t>
      </w:r>
      <w:r>
        <w:rPr>
          <w:rFonts w:ascii="宋体" w:hAnsi="宋体" w:eastAsia="宋体" w:cs="宋体"/>
          <w:color w:val="000000"/>
          <w:sz w:val="21"/>
          <w:highlight w:val="none"/>
        </w:rPr>
        <w:t>中空玻璃窗、塑钢中空玻璃窗、塑钢</w:t>
      </w:r>
      <w:r>
        <w:rPr>
          <w:color w:val="000000"/>
          <w:sz w:val="21"/>
          <w:highlight w:val="none"/>
        </w:rPr>
        <w:t>LOW-E</w:t>
      </w:r>
      <w:r>
        <w:rPr>
          <w:rFonts w:ascii="宋体" w:hAnsi="宋体" w:eastAsia="宋体" w:cs="宋体"/>
          <w:color w:val="000000"/>
          <w:sz w:val="21"/>
          <w:highlight w:val="none"/>
        </w:rPr>
        <w:t>中空玻璃窗、塑钢单层玻璃窗、其他。</w:t>
      </w:r>
    </w:p>
    <w:p w14:paraId="0D1D66C1">
      <w:pPr>
        <w:ind w:firstLine="420" w:firstLineChars="200"/>
        <w:rPr>
          <w:highlight w:val="none"/>
        </w:rPr>
      </w:pPr>
      <w:r>
        <w:rPr>
          <w:rFonts w:ascii="宋体" w:hAnsi="宋体" w:eastAsia="宋体" w:cs="宋体"/>
          <w:color w:val="000000"/>
          <w:sz w:val="21"/>
          <w:highlight w:val="none"/>
        </w:rPr>
        <w:t>三、室内采暖形式包括：散热器供暖、地面辐射供暖、其他。</w:t>
      </w:r>
    </w:p>
    <w:p w14:paraId="5276EF39">
      <w:pPr>
        <w:ind w:firstLine="420" w:firstLineChars="200"/>
        <w:rPr>
          <w:highlight w:val="none"/>
        </w:rPr>
      </w:pPr>
      <w:r>
        <w:rPr>
          <w:rFonts w:ascii="宋体" w:hAnsi="宋体" w:eastAsia="宋体" w:cs="宋体"/>
          <w:color w:val="000000"/>
          <w:sz w:val="21"/>
          <w:highlight w:val="none"/>
        </w:rPr>
        <w:t>四、热计量方式包括：户用热计量表法、热分配计法、温度法、楼栋热量表法、其他。</w:t>
      </w:r>
    </w:p>
    <w:p w14:paraId="10ACEA4A">
      <w:pPr>
        <w:ind w:firstLine="420" w:firstLineChars="200"/>
        <w:rPr>
          <w:highlight w:val="none"/>
        </w:rPr>
      </w:pPr>
      <w:r>
        <w:rPr>
          <w:rFonts w:ascii="宋体" w:hAnsi="宋体" w:eastAsia="宋体" w:cs="宋体"/>
          <w:color w:val="000000"/>
          <w:sz w:val="21"/>
          <w:highlight w:val="none"/>
        </w:rPr>
        <w:t>五、系统调节装置包括：静态水力平衡阀、自力式压差控制阀、散热器恒温阀、其他。</w:t>
      </w:r>
    </w:p>
    <w:p w14:paraId="613F8E74">
      <w:pPr>
        <w:ind w:firstLine="420" w:firstLineChars="200"/>
        <w:rPr>
          <w:highlight w:val="none"/>
        </w:rPr>
      </w:pPr>
      <w:r>
        <w:rPr>
          <w:rFonts w:ascii="宋体" w:hAnsi="宋体" w:eastAsia="宋体" w:cs="宋体"/>
          <w:color w:val="000000"/>
          <w:sz w:val="21"/>
          <w:highlight w:val="none"/>
        </w:rPr>
        <w:t>六、空调冷热源类型包括：压缩式冷水（热泵）机组、吸收式冷水机组、分体式房间空调器、多联机、区域集中供冷、独立冷热源集中供冷、其他。</w:t>
      </w:r>
    </w:p>
    <w:p w14:paraId="28C1D5CD">
      <w:pPr>
        <w:ind w:firstLine="420" w:firstLineChars="200"/>
        <w:rPr>
          <w:highlight w:val="none"/>
        </w:rPr>
      </w:pPr>
      <w:r>
        <w:rPr>
          <w:rFonts w:ascii="宋体" w:hAnsi="宋体" w:eastAsia="宋体" w:cs="宋体"/>
          <w:color w:val="000000"/>
          <w:sz w:val="21"/>
          <w:highlight w:val="none"/>
        </w:rPr>
        <w:t>七、热水供应方式包括：集中式、分散式。</w:t>
      </w:r>
    </w:p>
    <w:p w14:paraId="5087628C">
      <w:pPr>
        <w:ind w:firstLine="420" w:firstLineChars="200"/>
        <w:rPr>
          <w:highlight w:val="none"/>
        </w:rPr>
      </w:pPr>
      <w:r>
        <w:rPr>
          <w:rFonts w:ascii="宋体" w:hAnsi="宋体" w:eastAsia="宋体" w:cs="宋体"/>
          <w:color w:val="000000"/>
          <w:sz w:val="21"/>
          <w:highlight w:val="none"/>
        </w:rPr>
        <w:t>八、热水利用用能类型包括：电、燃气、太阳能、蒸汽、其他。</w:t>
      </w:r>
    </w:p>
    <w:p w14:paraId="6E65D902">
      <w:pPr>
        <w:ind w:firstLine="420"/>
        <w:rPr>
          <w:highlight w:val="none"/>
        </w:rPr>
      </w:pPr>
      <w:r>
        <w:rPr>
          <w:rFonts w:ascii="宋体" w:hAnsi="宋体" w:eastAsia="宋体" w:cs="宋体"/>
          <w:color w:val="000000"/>
          <w:sz w:val="21"/>
          <w:highlight w:val="none"/>
        </w:rPr>
        <w:t>九、本建筑的节能率与建筑节能标准比较情况包括：优于标准规定、满足标准规定、不符合标准规定。</w:t>
      </w:r>
    </w:p>
    <w:p w14:paraId="5DE87CEB">
      <w:pPr>
        <w:jc w:val="center"/>
        <w:rPr>
          <w:highlight w:val="none"/>
        </w:rPr>
      </w:pPr>
      <w:r>
        <w:rPr>
          <w:rFonts w:ascii="黑体" w:hAnsi="黑体" w:eastAsia="黑体" w:cs="黑体"/>
          <w:color w:val="000000"/>
          <w:highlight w:val="none"/>
        </w:rPr>
        <w:t>民用建筑节能信息销售现场公示表</w:t>
      </w:r>
    </w:p>
    <w:tbl>
      <w:tblPr>
        <w:tblStyle w:val="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5"/>
        <w:gridCol w:w="1650"/>
        <w:gridCol w:w="3840"/>
        <w:gridCol w:w="3180"/>
      </w:tblGrid>
      <w:tr w14:paraId="37F1A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0FCF9AA4">
            <w:pPr>
              <w:jc w:val="center"/>
              <w:rPr>
                <w:rFonts w:asciiTheme="minorHAnsi" w:hAnsiTheme="minorHAnsi" w:cstheme="minorBidi"/>
                <w:szCs w:val="22"/>
                <w:highlight w:val="none"/>
              </w:rPr>
            </w:pPr>
            <w:r>
              <w:rPr>
                <w:rFonts w:ascii="宋体" w:hAnsi="宋体" w:eastAsia="宋体" w:cs="宋体"/>
                <w:color w:val="000000"/>
                <w:sz w:val="21"/>
                <w:szCs w:val="22"/>
                <w:highlight w:val="none"/>
              </w:rPr>
              <w:t>建设单位</w:t>
            </w:r>
          </w:p>
        </w:tc>
        <w:tc>
          <w:tcPr>
            <w:tcW w:w="8670" w:type="dxa"/>
            <w:gridSpan w:val="3"/>
            <w:tcBorders>
              <w:top w:val="single" w:color="000000" w:sz="8"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4C97BA3C">
            <w:pPr>
              <w:jc w:val="center"/>
              <w:rPr>
                <w:rFonts w:asciiTheme="minorHAnsi" w:hAnsiTheme="minorHAnsi" w:cstheme="minorBidi"/>
                <w:szCs w:val="22"/>
                <w:highlight w:val="none"/>
              </w:rPr>
            </w:pPr>
            <w:r>
              <w:rPr>
                <w:rFonts w:ascii="宋体" w:hAnsi="宋体" w:eastAsia="宋体" w:cs="宋体"/>
                <w:color w:val="000000"/>
                <w:sz w:val="21"/>
                <w:szCs w:val="22"/>
                <w:highlight w:val="none"/>
              </w:rPr>
              <w:t>无锡山水嘉泰置业有限公司</w:t>
            </w:r>
          </w:p>
        </w:tc>
      </w:tr>
      <w:tr w14:paraId="64BD6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154C3FDC">
            <w:pPr>
              <w:jc w:val="center"/>
              <w:rPr>
                <w:rFonts w:asciiTheme="minorHAnsi" w:hAnsiTheme="minorHAnsi" w:cstheme="minorBidi"/>
                <w:szCs w:val="22"/>
                <w:highlight w:val="none"/>
              </w:rPr>
            </w:pPr>
            <w:r>
              <w:rPr>
                <w:rFonts w:ascii="宋体" w:hAnsi="宋体" w:eastAsia="宋体" w:cs="宋体"/>
                <w:color w:val="000000"/>
                <w:sz w:val="21"/>
                <w:szCs w:val="22"/>
                <w:highlight w:val="none"/>
              </w:rPr>
              <w:t>项目名称</w:t>
            </w:r>
          </w:p>
        </w:tc>
        <w:tc>
          <w:tcPr>
            <w:tcW w:w="8670" w:type="dxa"/>
            <w:gridSpan w:val="3"/>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7581258">
            <w:pPr>
              <w:jc w:val="center"/>
              <w:rPr>
                <w:rFonts w:asciiTheme="minorHAnsi" w:hAnsiTheme="minorHAnsi" w:cstheme="minorBidi"/>
                <w:szCs w:val="22"/>
                <w:highlight w:val="none"/>
              </w:rPr>
            </w:pPr>
            <w:r>
              <w:rPr>
                <w:rFonts w:asciiTheme="minorHAnsi" w:hAnsiTheme="minorHAnsi" w:cstheme="minorBidi"/>
                <w:color w:val="000000"/>
                <w:sz w:val="21"/>
                <w:szCs w:val="22"/>
                <w:highlight w:val="none"/>
              </w:rPr>
              <w:t>XDG-2024-34</w:t>
            </w:r>
            <w:r>
              <w:rPr>
                <w:rFonts w:ascii="宋体" w:hAnsi="宋体" w:eastAsia="宋体" w:cs="宋体"/>
                <w:color w:val="000000"/>
                <w:sz w:val="21"/>
                <w:szCs w:val="22"/>
                <w:highlight w:val="none"/>
              </w:rPr>
              <w:t>号地块</w:t>
            </w:r>
            <w:r>
              <w:rPr>
                <w:rFonts w:asciiTheme="minorHAnsi" w:hAnsiTheme="minorHAnsi" w:cstheme="minorBidi"/>
                <w:color w:val="000000"/>
                <w:sz w:val="21"/>
                <w:szCs w:val="22"/>
                <w:highlight w:val="none"/>
              </w:rPr>
              <w:t>-3#</w:t>
            </w:r>
          </w:p>
        </w:tc>
      </w:tr>
      <w:tr w14:paraId="468C5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78DD85C2">
            <w:pPr>
              <w:jc w:val="center"/>
              <w:rPr>
                <w:rFonts w:asciiTheme="minorHAnsi" w:hAnsiTheme="minorHAnsi" w:cstheme="minorBidi"/>
                <w:szCs w:val="22"/>
                <w:highlight w:val="none"/>
              </w:rPr>
            </w:pPr>
            <w:r>
              <w:rPr>
                <w:rFonts w:ascii="宋体" w:hAnsi="宋体" w:eastAsia="宋体" w:cs="宋体"/>
                <w:color w:val="000000"/>
                <w:sz w:val="21"/>
                <w:szCs w:val="22"/>
                <w:highlight w:val="none"/>
              </w:rPr>
              <w:t>围护结构</w:t>
            </w:r>
          </w:p>
        </w:tc>
        <w:tc>
          <w:tcPr>
            <w:tcW w:w="165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75B3E515">
            <w:pPr>
              <w:jc w:val="center"/>
              <w:rPr>
                <w:rFonts w:asciiTheme="minorHAnsi" w:hAnsiTheme="minorHAnsi" w:cstheme="minorBidi"/>
                <w:szCs w:val="22"/>
                <w:highlight w:val="none"/>
              </w:rPr>
            </w:pPr>
            <w:r>
              <w:rPr>
                <w:rFonts w:ascii="宋体" w:hAnsi="宋体" w:eastAsia="宋体" w:cs="宋体"/>
                <w:color w:val="000000"/>
                <w:sz w:val="21"/>
                <w:szCs w:val="22"/>
                <w:highlight w:val="none"/>
              </w:rPr>
              <w:t>墙体</w:t>
            </w:r>
          </w:p>
        </w:tc>
        <w:tc>
          <w:tcPr>
            <w:tcW w:w="3840" w:type="dxa"/>
            <w:tcBorders>
              <w:top w:val="single" w:color="000000" w:sz="8"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CB80641">
            <w:pPr>
              <w:spacing w:line="360" w:lineRule="exact"/>
              <w:jc w:val="center"/>
              <w:rPr>
                <w:rFonts w:asciiTheme="minorHAnsi" w:hAnsiTheme="minorHAnsi" w:cstheme="minorBidi"/>
                <w:szCs w:val="22"/>
                <w:highlight w:val="none"/>
              </w:rPr>
            </w:pPr>
            <w:r>
              <w:rPr>
                <w:rFonts w:ascii="宋体" w:hAnsi="宋体" w:eastAsia="宋体" w:cs="宋体"/>
                <w:color w:val="000000"/>
                <w:sz w:val="21"/>
                <w:szCs w:val="22"/>
                <w:highlight w:val="none"/>
              </w:rPr>
              <w:t>传热系数（</w:t>
            </w:r>
            <w:r>
              <w:rPr>
                <w:rFonts w:asciiTheme="minorHAnsi" w:hAnsiTheme="minorHAnsi" w:cstheme="minorBidi"/>
                <w:color w:val="000000"/>
                <w:sz w:val="21"/>
                <w:szCs w:val="22"/>
                <w:highlight w:val="none"/>
              </w:rPr>
              <w:t>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w:t>
            </w:r>
            <w:r>
              <w:rPr>
                <w:rFonts w:ascii="宋体" w:hAnsi="宋体" w:eastAsia="宋体" w:cs="宋体"/>
                <w:color w:val="000000"/>
                <w:sz w:val="21"/>
                <w:szCs w:val="22"/>
                <w:highlight w:val="none"/>
              </w:rPr>
              <w:t>）保温材料层厚度（</w:t>
            </w:r>
            <w:r>
              <w:rPr>
                <w:rFonts w:asciiTheme="minorHAnsi" w:hAnsiTheme="minorHAnsi" w:cstheme="minorBidi"/>
                <w:color w:val="000000"/>
                <w:sz w:val="21"/>
                <w:szCs w:val="22"/>
                <w:highlight w:val="none"/>
              </w:rPr>
              <w:t>mm</w:t>
            </w:r>
            <w:r>
              <w:rPr>
                <w:rFonts w:ascii="宋体" w:hAnsi="宋体" w:eastAsia="宋体" w:cs="宋体"/>
                <w:color w:val="000000"/>
                <w:sz w:val="21"/>
                <w:szCs w:val="22"/>
                <w:highlight w:val="none"/>
              </w:rPr>
              <w:t>）</w:t>
            </w:r>
          </w:p>
        </w:tc>
        <w:tc>
          <w:tcPr>
            <w:tcW w:w="3180" w:type="dxa"/>
            <w:tcBorders>
              <w:top w:val="single" w:color="000000" w:sz="8"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4844BDE3">
            <w:pPr>
              <w:spacing w:line="360" w:lineRule="exact"/>
              <w:rPr>
                <w:rFonts w:asciiTheme="minorHAnsi" w:hAnsiTheme="minorHAnsi" w:cstheme="minorBidi"/>
                <w:szCs w:val="22"/>
                <w:highlight w:val="none"/>
              </w:rPr>
            </w:pPr>
            <w:r>
              <w:rPr>
                <w:rFonts w:asciiTheme="minorHAnsi" w:hAnsiTheme="minorHAnsi" w:cstheme="minorBidi"/>
                <w:color w:val="000000"/>
                <w:sz w:val="21"/>
                <w:szCs w:val="22"/>
                <w:highlight w:val="none"/>
              </w:rPr>
              <w:t>0.77W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 ,  45mm</w:t>
            </w:r>
          </w:p>
        </w:tc>
      </w:tr>
      <w:tr w14:paraId="294F5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61F84403">
            <w:pPr>
              <w:rPr>
                <w:rFonts w:asciiTheme="minorHAnsi" w:hAnsiTheme="minorHAnsi" w:cstheme="minorBidi"/>
                <w:szCs w:val="22"/>
                <w:highlight w:val="none"/>
              </w:rPr>
            </w:pPr>
          </w:p>
        </w:tc>
        <w:tc>
          <w:tcPr>
            <w:tcW w:w="165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396AA4D6">
            <w:pPr>
              <w:jc w:val="center"/>
              <w:rPr>
                <w:rFonts w:asciiTheme="minorHAnsi" w:hAnsiTheme="minorHAnsi" w:cstheme="minorBidi"/>
                <w:szCs w:val="22"/>
                <w:highlight w:val="none"/>
              </w:rPr>
            </w:pPr>
            <w:r>
              <w:rPr>
                <w:rFonts w:ascii="宋体" w:hAnsi="宋体" w:eastAsia="宋体" w:cs="宋体"/>
                <w:color w:val="000000"/>
                <w:sz w:val="21"/>
                <w:szCs w:val="22"/>
                <w:highlight w:val="none"/>
              </w:rPr>
              <w:t>屋面</w:t>
            </w:r>
          </w:p>
        </w:tc>
        <w:tc>
          <w:tcPr>
            <w:tcW w:w="384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62EA830">
            <w:pPr>
              <w:jc w:val="center"/>
              <w:rPr>
                <w:rFonts w:asciiTheme="minorHAnsi" w:hAnsiTheme="minorHAnsi" w:cstheme="minorBidi"/>
                <w:szCs w:val="22"/>
                <w:highlight w:val="none"/>
              </w:rPr>
            </w:pPr>
            <w:r>
              <w:rPr>
                <w:rFonts w:ascii="宋体" w:hAnsi="宋体" w:eastAsia="宋体" w:cs="宋体"/>
                <w:color w:val="000000"/>
                <w:sz w:val="21"/>
                <w:szCs w:val="22"/>
                <w:highlight w:val="none"/>
              </w:rPr>
              <w:t>传热系数（</w:t>
            </w:r>
            <w:r>
              <w:rPr>
                <w:rFonts w:asciiTheme="minorHAnsi" w:hAnsiTheme="minorHAnsi" w:cstheme="minorBidi"/>
                <w:color w:val="000000"/>
                <w:sz w:val="21"/>
                <w:szCs w:val="22"/>
                <w:highlight w:val="none"/>
              </w:rPr>
              <w:t>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w:t>
            </w:r>
            <w:r>
              <w:rPr>
                <w:rFonts w:ascii="宋体" w:hAnsi="宋体" w:eastAsia="宋体" w:cs="宋体"/>
                <w:color w:val="000000"/>
                <w:sz w:val="21"/>
                <w:szCs w:val="22"/>
                <w:highlight w:val="none"/>
              </w:rPr>
              <w:t>）保温材料层厚度（</w:t>
            </w:r>
            <w:r>
              <w:rPr>
                <w:rFonts w:asciiTheme="minorHAnsi" w:hAnsiTheme="minorHAnsi" w:cstheme="minorBidi"/>
                <w:color w:val="000000"/>
                <w:sz w:val="21"/>
                <w:szCs w:val="22"/>
                <w:highlight w:val="none"/>
              </w:rPr>
              <w:t>mm</w:t>
            </w:r>
            <w:r>
              <w:rPr>
                <w:rFonts w:ascii="宋体" w:hAnsi="宋体" w:eastAsia="宋体" w:cs="宋体"/>
                <w:color w:val="000000"/>
                <w:sz w:val="21"/>
                <w:szCs w:val="22"/>
                <w:highlight w:val="none"/>
              </w:rPr>
              <w:t>）</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057BBDC">
            <w:pPr>
              <w:rPr>
                <w:rFonts w:asciiTheme="minorHAnsi" w:hAnsiTheme="minorHAnsi" w:cstheme="minorBidi"/>
                <w:szCs w:val="22"/>
                <w:highlight w:val="none"/>
              </w:rPr>
            </w:pPr>
            <w:r>
              <w:rPr>
                <w:rFonts w:asciiTheme="minorHAnsi" w:hAnsiTheme="minorHAnsi" w:cstheme="minorBidi"/>
                <w:color w:val="000000"/>
                <w:sz w:val="21"/>
                <w:szCs w:val="22"/>
                <w:highlight w:val="none"/>
              </w:rPr>
              <w:t>0.40W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 ,  105mm</w:t>
            </w:r>
          </w:p>
        </w:tc>
      </w:tr>
      <w:tr w14:paraId="24A1E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7A37F9DA">
            <w:pPr>
              <w:rPr>
                <w:rFonts w:asciiTheme="minorHAnsi" w:hAnsiTheme="minorHAnsi" w:cstheme="minorBidi"/>
                <w:szCs w:val="22"/>
                <w:highlight w:val="none"/>
              </w:rPr>
            </w:pPr>
          </w:p>
        </w:tc>
        <w:tc>
          <w:tcPr>
            <w:tcW w:w="165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E92E79D">
            <w:pPr>
              <w:jc w:val="center"/>
              <w:rPr>
                <w:rFonts w:asciiTheme="minorHAnsi" w:hAnsiTheme="minorHAnsi" w:cstheme="minorBidi"/>
                <w:szCs w:val="22"/>
                <w:highlight w:val="none"/>
              </w:rPr>
            </w:pPr>
            <w:r>
              <w:rPr>
                <w:rFonts w:ascii="宋体" w:hAnsi="宋体" w:eastAsia="宋体" w:cs="宋体"/>
                <w:color w:val="000000"/>
                <w:sz w:val="21"/>
                <w:szCs w:val="22"/>
                <w:highlight w:val="none"/>
              </w:rPr>
              <w:t>地面</w:t>
            </w:r>
          </w:p>
        </w:tc>
        <w:tc>
          <w:tcPr>
            <w:tcW w:w="384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47D341BB">
            <w:pPr>
              <w:jc w:val="center"/>
              <w:rPr>
                <w:rFonts w:asciiTheme="minorHAnsi" w:hAnsiTheme="minorHAnsi" w:cstheme="minorBidi"/>
                <w:szCs w:val="22"/>
                <w:highlight w:val="none"/>
              </w:rPr>
            </w:pPr>
            <w:r>
              <w:rPr>
                <w:rFonts w:ascii="宋体" w:hAnsi="宋体" w:eastAsia="宋体" w:cs="宋体"/>
                <w:color w:val="000000"/>
                <w:sz w:val="21"/>
                <w:szCs w:val="22"/>
                <w:highlight w:val="none"/>
              </w:rPr>
              <w:t>传热系数（</w:t>
            </w:r>
            <w:r>
              <w:rPr>
                <w:rFonts w:asciiTheme="minorHAnsi" w:hAnsiTheme="minorHAnsi" w:cstheme="minorBidi"/>
                <w:color w:val="000000"/>
                <w:sz w:val="21"/>
                <w:szCs w:val="22"/>
                <w:highlight w:val="none"/>
              </w:rPr>
              <w:t>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w:t>
            </w:r>
            <w:r>
              <w:rPr>
                <w:rFonts w:ascii="宋体" w:hAnsi="宋体" w:eastAsia="宋体" w:cs="宋体"/>
                <w:color w:val="000000"/>
                <w:sz w:val="21"/>
                <w:szCs w:val="22"/>
                <w:highlight w:val="none"/>
              </w:rPr>
              <w:t>）保温材料层厚度（</w:t>
            </w:r>
            <w:r>
              <w:rPr>
                <w:rFonts w:asciiTheme="minorHAnsi" w:hAnsiTheme="minorHAnsi" w:cstheme="minorBidi"/>
                <w:color w:val="000000"/>
                <w:sz w:val="21"/>
                <w:szCs w:val="22"/>
                <w:highlight w:val="none"/>
              </w:rPr>
              <w:t>mm</w:t>
            </w:r>
            <w:r>
              <w:rPr>
                <w:rFonts w:ascii="宋体" w:hAnsi="宋体" w:eastAsia="宋体" w:cs="宋体"/>
                <w:color w:val="000000"/>
                <w:sz w:val="21"/>
                <w:szCs w:val="22"/>
                <w:highlight w:val="none"/>
              </w:rPr>
              <w:t>）</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428135BE">
            <w:pPr>
              <w:rPr>
                <w:rFonts w:asciiTheme="minorHAnsi" w:hAnsiTheme="minorHAnsi" w:cstheme="minorBidi"/>
                <w:szCs w:val="22"/>
                <w:highlight w:val="none"/>
              </w:rPr>
            </w:pPr>
            <w:r>
              <w:rPr>
                <w:rFonts w:asciiTheme="minorHAnsi" w:hAnsiTheme="minorHAnsi" w:cstheme="minorBidi"/>
                <w:color w:val="000000"/>
                <w:sz w:val="21"/>
                <w:szCs w:val="22"/>
                <w:highlight w:val="none"/>
              </w:rPr>
              <w:t>1.13W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 ,  30mm</w:t>
            </w:r>
          </w:p>
        </w:tc>
      </w:tr>
      <w:tr w14:paraId="4A445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56ADA320">
            <w:pPr>
              <w:rPr>
                <w:rFonts w:asciiTheme="minorHAnsi" w:hAnsiTheme="minorHAnsi" w:cstheme="minorBidi"/>
                <w:szCs w:val="22"/>
                <w:highlight w:val="none"/>
              </w:rPr>
            </w:pPr>
          </w:p>
        </w:tc>
        <w:tc>
          <w:tcPr>
            <w:tcW w:w="1650" w:type="dxa"/>
            <w:vMerge w:val="restart"/>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0572675C">
            <w:pPr>
              <w:jc w:val="center"/>
              <w:rPr>
                <w:rFonts w:asciiTheme="minorHAnsi" w:hAnsiTheme="minorHAnsi" w:cstheme="minorBidi"/>
                <w:szCs w:val="22"/>
                <w:highlight w:val="none"/>
              </w:rPr>
            </w:pPr>
            <w:r>
              <w:rPr>
                <w:rFonts w:ascii="宋体" w:hAnsi="宋体" w:eastAsia="宋体" w:cs="宋体"/>
                <w:color w:val="000000"/>
                <w:sz w:val="21"/>
                <w:szCs w:val="22"/>
                <w:highlight w:val="none"/>
              </w:rPr>
              <w:t>门窗</w:t>
            </w:r>
          </w:p>
        </w:tc>
        <w:tc>
          <w:tcPr>
            <w:tcW w:w="384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3A813AA4">
            <w:pPr>
              <w:jc w:val="center"/>
              <w:rPr>
                <w:rFonts w:asciiTheme="minorHAnsi" w:hAnsiTheme="minorHAnsi" w:cstheme="minorBidi"/>
                <w:szCs w:val="22"/>
                <w:highlight w:val="none"/>
              </w:rPr>
            </w:pPr>
            <w:r>
              <w:rPr>
                <w:rFonts w:ascii="宋体" w:hAnsi="宋体" w:eastAsia="宋体" w:cs="宋体"/>
                <w:color w:val="000000"/>
                <w:sz w:val="21"/>
                <w:szCs w:val="22"/>
                <w:highlight w:val="none"/>
              </w:rPr>
              <w:t>传热系数</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331125E">
            <w:pPr>
              <w:rPr>
                <w:rFonts w:asciiTheme="minorHAnsi" w:hAnsiTheme="minorHAnsi" w:cstheme="minorBidi"/>
                <w:szCs w:val="22"/>
                <w:highlight w:val="none"/>
              </w:rPr>
            </w:pPr>
            <w:r>
              <w:rPr>
                <w:rFonts w:asciiTheme="minorHAnsi" w:hAnsiTheme="minorHAnsi" w:cstheme="minorBidi"/>
                <w:color w:val="000000"/>
                <w:sz w:val="21"/>
                <w:szCs w:val="22"/>
                <w:highlight w:val="none"/>
              </w:rPr>
              <w:t>1.80W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w:t>
            </w:r>
          </w:p>
        </w:tc>
      </w:tr>
      <w:tr w14:paraId="0D740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450B9429">
            <w:pPr>
              <w:rPr>
                <w:rFonts w:asciiTheme="minorHAnsi" w:hAnsiTheme="minorHAnsi" w:cstheme="minorBidi"/>
                <w:szCs w:val="22"/>
                <w:highlight w:val="none"/>
              </w:rPr>
            </w:pPr>
          </w:p>
        </w:tc>
        <w:tc>
          <w:tcPr>
            <w:tcW w:w="1650" w:type="dxa"/>
            <w:vMerge w:val="continue"/>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3300939F">
            <w:pPr>
              <w:rPr>
                <w:rFonts w:asciiTheme="minorHAnsi" w:hAnsiTheme="minorHAnsi" w:cstheme="minorBidi"/>
                <w:szCs w:val="22"/>
                <w:highlight w:val="none"/>
              </w:rPr>
            </w:pPr>
          </w:p>
        </w:tc>
        <w:tc>
          <w:tcPr>
            <w:tcW w:w="384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7A4037D2">
            <w:pPr>
              <w:jc w:val="center"/>
              <w:rPr>
                <w:rFonts w:asciiTheme="minorHAnsi" w:hAnsiTheme="minorHAnsi" w:cstheme="minorBidi"/>
                <w:szCs w:val="22"/>
                <w:highlight w:val="none"/>
              </w:rPr>
            </w:pPr>
            <w:r>
              <w:rPr>
                <w:rFonts w:ascii="宋体" w:hAnsi="宋体" w:eastAsia="宋体" w:cs="宋体"/>
                <w:color w:val="000000"/>
                <w:sz w:val="21"/>
                <w:szCs w:val="22"/>
                <w:highlight w:val="none"/>
              </w:rPr>
              <w:t>综合遮阳系数</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431448E7">
            <w:pPr>
              <w:jc w:val="left"/>
              <w:rPr>
                <w:rFonts w:asciiTheme="minorHAnsi" w:hAnsiTheme="minorHAnsi" w:cstheme="minorBidi"/>
                <w:szCs w:val="22"/>
                <w:highlight w:val="none"/>
              </w:rPr>
            </w:pPr>
            <w:r>
              <w:rPr>
                <w:rFonts w:asciiTheme="minorHAnsi" w:hAnsiTheme="minorHAnsi" w:cstheme="minorBidi"/>
                <w:color w:val="000000"/>
                <w:sz w:val="21"/>
                <w:szCs w:val="22"/>
                <w:highlight w:val="none"/>
              </w:rPr>
              <w:t>0.485</w:t>
            </w:r>
          </w:p>
        </w:tc>
      </w:tr>
      <w:tr w14:paraId="28FC6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18123C83">
            <w:pPr>
              <w:rPr>
                <w:rFonts w:asciiTheme="minorHAnsi" w:hAnsiTheme="minorHAnsi" w:cstheme="minorBidi"/>
                <w:szCs w:val="22"/>
                <w:highlight w:val="none"/>
              </w:rPr>
            </w:pPr>
          </w:p>
        </w:tc>
        <w:tc>
          <w:tcPr>
            <w:tcW w:w="1650" w:type="dxa"/>
            <w:vMerge w:val="continue"/>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7AF5003C">
            <w:pPr>
              <w:rPr>
                <w:rFonts w:asciiTheme="minorHAnsi" w:hAnsiTheme="minorHAnsi" w:cstheme="minorBidi"/>
                <w:szCs w:val="22"/>
                <w:highlight w:val="none"/>
              </w:rPr>
            </w:pPr>
          </w:p>
        </w:tc>
        <w:tc>
          <w:tcPr>
            <w:tcW w:w="384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775878F3">
            <w:pPr>
              <w:jc w:val="center"/>
              <w:rPr>
                <w:rFonts w:asciiTheme="minorHAnsi" w:hAnsiTheme="minorHAnsi" w:cstheme="minorBidi"/>
                <w:szCs w:val="22"/>
                <w:highlight w:val="none"/>
              </w:rPr>
            </w:pPr>
            <w:r>
              <w:rPr>
                <w:rFonts w:ascii="宋体" w:hAnsi="宋体" w:eastAsia="宋体" w:cs="宋体"/>
                <w:color w:val="000000"/>
                <w:sz w:val="21"/>
                <w:szCs w:val="22"/>
                <w:highlight w:val="none"/>
              </w:rPr>
              <w:t>节能性能标识</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03786AE6">
            <w:pPr>
              <w:rPr>
                <w:rFonts w:asciiTheme="minorHAnsi" w:hAnsiTheme="minorHAnsi" w:cstheme="minorBidi"/>
                <w:szCs w:val="22"/>
                <w:highlight w:val="none"/>
              </w:rPr>
            </w:pPr>
            <w:r>
              <w:rPr>
                <w:rFonts w:ascii="宋体" w:hAnsi="宋体" w:eastAsia="宋体" w:cs="宋体"/>
                <w:color w:val="000000"/>
                <w:sz w:val="21"/>
                <w:szCs w:val="22"/>
                <w:highlight w:val="none"/>
              </w:rPr>
              <w:t>断热桥铝合金中空玻璃窗</w:t>
            </w:r>
          </w:p>
        </w:tc>
      </w:tr>
      <w:tr w14:paraId="0A6B2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6BDECA5E">
            <w:pPr>
              <w:jc w:val="center"/>
              <w:rPr>
                <w:rFonts w:asciiTheme="minorHAnsi" w:hAnsiTheme="minorHAnsi" w:cstheme="minorBidi"/>
                <w:szCs w:val="22"/>
                <w:highlight w:val="none"/>
              </w:rPr>
            </w:pPr>
            <w:r>
              <w:rPr>
                <w:rFonts w:ascii="宋体" w:hAnsi="宋体" w:eastAsia="宋体" w:cs="宋体"/>
                <w:color w:val="000000"/>
                <w:sz w:val="21"/>
                <w:szCs w:val="22"/>
                <w:highlight w:val="none"/>
              </w:rPr>
              <w:t>供热系统</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0E206D95">
            <w:pPr>
              <w:jc w:val="center"/>
              <w:rPr>
                <w:rFonts w:asciiTheme="minorHAnsi" w:hAnsiTheme="minorHAnsi" w:cstheme="minorBidi"/>
                <w:szCs w:val="22"/>
                <w:highlight w:val="none"/>
              </w:rPr>
            </w:pPr>
            <w:r>
              <w:rPr>
                <w:rFonts w:ascii="宋体" w:hAnsi="宋体" w:eastAsia="宋体" w:cs="宋体"/>
                <w:color w:val="000000"/>
                <w:sz w:val="21"/>
                <w:szCs w:val="22"/>
                <w:highlight w:val="none"/>
              </w:rPr>
              <w:t>室内采暖形式</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0EE0570F">
            <w:pPr>
              <w:rPr>
                <w:rFonts w:asciiTheme="minorHAnsi" w:hAnsiTheme="minorHAnsi" w:cstheme="minorBidi"/>
                <w:szCs w:val="22"/>
                <w:highlight w:val="none"/>
              </w:rPr>
            </w:pPr>
            <w:r>
              <w:rPr>
                <w:rFonts w:ascii="宋体" w:hAnsi="宋体" w:eastAsia="宋体" w:cs="宋体"/>
                <w:color w:val="000000"/>
                <w:sz w:val="21"/>
                <w:szCs w:val="22"/>
                <w:highlight w:val="none"/>
              </w:rPr>
              <w:t>地面辐射供暖</w:t>
            </w:r>
          </w:p>
        </w:tc>
      </w:tr>
      <w:tr w14:paraId="6B0AF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24895970">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440C52D">
            <w:pPr>
              <w:jc w:val="center"/>
              <w:rPr>
                <w:rFonts w:asciiTheme="minorHAnsi" w:hAnsiTheme="minorHAnsi" w:cstheme="minorBidi"/>
                <w:szCs w:val="22"/>
                <w:highlight w:val="none"/>
              </w:rPr>
            </w:pPr>
            <w:r>
              <w:rPr>
                <w:rFonts w:ascii="宋体" w:hAnsi="宋体" w:eastAsia="宋体" w:cs="宋体"/>
                <w:color w:val="000000"/>
                <w:sz w:val="21"/>
                <w:szCs w:val="22"/>
                <w:highlight w:val="none"/>
              </w:rPr>
              <w:t>热计量方式</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F95989E">
            <w:pPr>
              <w:rPr>
                <w:rFonts w:asciiTheme="minorHAnsi" w:hAnsiTheme="minorHAnsi" w:cstheme="minorBidi"/>
                <w:szCs w:val="22"/>
                <w:highlight w:val="none"/>
              </w:rPr>
            </w:pPr>
            <w:r>
              <w:rPr>
                <w:rFonts w:ascii="宋体" w:hAnsi="宋体" w:eastAsia="宋体" w:cs="宋体"/>
                <w:color w:val="000000"/>
                <w:sz w:val="21"/>
                <w:szCs w:val="22"/>
                <w:highlight w:val="none"/>
              </w:rPr>
              <w:t>户用热计量表法</w:t>
            </w:r>
          </w:p>
        </w:tc>
      </w:tr>
      <w:tr w14:paraId="3FDCF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6A309142">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776A661B">
            <w:pPr>
              <w:jc w:val="center"/>
              <w:rPr>
                <w:rFonts w:asciiTheme="minorHAnsi" w:hAnsiTheme="minorHAnsi" w:cstheme="minorBidi"/>
                <w:szCs w:val="22"/>
                <w:highlight w:val="none"/>
              </w:rPr>
            </w:pPr>
            <w:r>
              <w:rPr>
                <w:rFonts w:ascii="宋体" w:hAnsi="宋体" w:eastAsia="宋体" w:cs="宋体"/>
                <w:color w:val="000000"/>
                <w:sz w:val="21"/>
                <w:szCs w:val="22"/>
                <w:highlight w:val="none"/>
              </w:rPr>
              <w:t>系统调节装置</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63119392">
            <w:pPr>
              <w:rPr>
                <w:rFonts w:asciiTheme="minorHAnsi" w:hAnsiTheme="minorHAnsi" w:cstheme="minorBidi"/>
                <w:szCs w:val="22"/>
                <w:highlight w:val="none"/>
              </w:rPr>
            </w:pPr>
            <w:r>
              <w:rPr>
                <w:rFonts w:ascii="宋体" w:hAnsi="宋体" w:eastAsia="宋体" w:cs="宋体"/>
                <w:color w:val="000000"/>
                <w:sz w:val="21"/>
                <w:szCs w:val="22"/>
                <w:highlight w:val="none"/>
              </w:rPr>
              <w:t>静态水力平衡阀</w:t>
            </w:r>
          </w:p>
        </w:tc>
      </w:tr>
      <w:tr w14:paraId="7BA31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731FD87A">
            <w:pPr>
              <w:jc w:val="center"/>
              <w:rPr>
                <w:rFonts w:asciiTheme="minorHAnsi" w:hAnsiTheme="minorHAnsi" w:cstheme="minorBidi"/>
                <w:szCs w:val="22"/>
                <w:highlight w:val="none"/>
              </w:rPr>
            </w:pPr>
            <w:r>
              <w:rPr>
                <w:rFonts w:ascii="宋体" w:hAnsi="宋体" w:eastAsia="宋体" w:cs="宋体"/>
                <w:color w:val="000000"/>
                <w:sz w:val="21"/>
                <w:szCs w:val="22"/>
                <w:highlight w:val="none"/>
              </w:rPr>
              <w:t>空调系统</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0D0FA50">
            <w:pPr>
              <w:jc w:val="center"/>
              <w:rPr>
                <w:rFonts w:asciiTheme="minorHAnsi" w:hAnsiTheme="minorHAnsi" w:cstheme="minorBidi"/>
                <w:szCs w:val="22"/>
                <w:highlight w:val="none"/>
              </w:rPr>
            </w:pPr>
            <w:r>
              <w:rPr>
                <w:rFonts w:ascii="宋体" w:hAnsi="宋体" w:eastAsia="宋体" w:cs="宋体"/>
                <w:color w:val="000000"/>
                <w:sz w:val="21"/>
                <w:szCs w:val="22"/>
                <w:highlight w:val="none"/>
              </w:rPr>
              <w:t>冷源机组类型</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67421BA9">
            <w:pPr>
              <w:rPr>
                <w:rFonts w:asciiTheme="minorHAnsi" w:hAnsiTheme="minorHAnsi" w:cstheme="minorBidi"/>
                <w:szCs w:val="22"/>
                <w:highlight w:val="none"/>
              </w:rPr>
            </w:pPr>
            <w:r>
              <w:rPr>
                <w:rFonts w:ascii="宋体" w:hAnsi="宋体" w:eastAsia="宋体" w:cs="宋体"/>
                <w:color w:val="000000"/>
                <w:sz w:val="21"/>
                <w:szCs w:val="22"/>
                <w:highlight w:val="none"/>
              </w:rPr>
              <w:t>多联机</w:t>
            </w:r>
          </w:p>
        </w:tc>
      </w:tr>
      <w:tr w14:paraId="3872E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75F11650">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75F37647">
            <w:pPr>
              <w:jc w:val="center"/>
              <w:rPr>
                <w:rFonts w:asciiTheme="minorHAnsi" w:hAnsiTheme="minorHAnsi" w:cstheme="minorBidi"/>
                <w:szCs w:val="22"/>
                <w:highlight w:val="none"/>
              </w:rPr>
            </w:pPr>
            <w:r>
              <w:rPr>
                <w:rFonts w:ascii="宋体" w:hAnsi="宋体" w:eastAsia="宋体" w:cs="宋体"/>
                <w:color w:val="000000"/>
                <w:sz w:val="21"/>
                <w:szCs w:val="22"/>
                <w:highlight w:val="none"/>
              </w:rPr>
              <w:t>能效比</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716B4FD4">
            <w:pPr>
              <w:rPr>
                <w:rFonts w:asciiTheme="minorHAnsi" w:hAnsiTheme="minorHAnsi" w:cstheme="minorBidi"/>
                <w:szCs w:val="22"/>
                <w:highlight w:val="none"/>
              </w:rPr>
            </w:pPr>
            <w:r>
              <w:rPr>
                <w:rFonts w:asciiTheme="minorHAnsi" w:hAnsiTheme="minorHAnsi" w:cstheme="minorBidi"/>
                <w:color w:val="000000"/>
                <w:sz w:val="21"/>
                <w:szCs w:val="22"/>
                <w:highlight w:val="none"/>
              </w:rPr>
              <w:t>APF</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4.3</w:t>
            </w:r>
          </w:p>
        </w:tc>
      </w:tr>
      <w:tr w14:paraId="0106E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784C2376">
            <w:pPr>
              <w:jc w:val="center"/>
              <w:rPr>
                <w:rFonts w:asciiTheme="minorHAnsi" w:hAnsiTheme="minorHAnsi" w:cstheme="minorBidi"/>
                <w:szCs w:val="22"/>
                <w:highlight w:val="none"/>
              </w:rPr>
            </w:pPr>
            <w:r>
              <w:rPr>
                <w:rFonts w:ascii="宋体" w:hAnsi="宋体" w:eastAsia="宋体" w:cs="宋体"/>
                <w:color w:val="000000"/>
                <w:sz w:val="21"/>
                <w:szCs w:val="22"/>
                <w:highlight w:val="none"/>
              </w:rPr>
              <w:t>热水利用</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572FD25">
            <w:pPr>
              <w:jc w:val="center"/>
              <w:rPr>
                <w:rFonts w:asciiTheme="minorHAnsi" w:hAnsiTheme="minorHAnsi" w:cstheme="minorBidi"/>
                <w:szCs w:val="22"/>
                <w:highlight w:val="none"/>
              </w:rPr>
            </w:pPr>
            <w:r>
              <w:rPr>
                <w:rFonts w:ascii="宋体" w:hAnsi="宋体" w:eastAsia="宋体" w:cs="宋体"/>
                <w:color w:val="000000"/>
                <w:sz w:val="21"/>
                <w:szCs w:val="22"/>
                <w:highlight w:val="none"/>
              </w:rPr>
              <w:t>供应方式</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38177539">
            <w:pPr>
              <w:jc w:val="center"/>
              <w:rPr>
                <w:rFonts w:asciiTheme="minorHAnsi" w:hAnsiTheme="minorHAnsi" w:cstheme="minorBidi"/>
                <w:szCs w:val="22"/>
                <w:highlight w:val="none"/>
              </w:rPr>
            </w:pPr>
            <w:r>
              <w:rPr>
                <w:rFonts w:ascii="宋体" w:hAnsi="宋体" w:eastAsia="宋体" w:cs="宋体"/>
                <w:color w:val="000000"/>
                <w:sz w:val="21"/>
                <w:szCs w:val="22"/>
                <w:highlight w:val="none"/>
              </w:rPr>
              <w:t>分散供应</w:t>
            </w:r>
          </w:p>
        </w:tc>
      </w:tr>
      <w:tr w14:paraId="0BCB4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7591A08D">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947B407">
            <w:pPr>
              <w:jc w:val="center"/>
              <w:rPr>
                <w:rFonts w:asciiTheme="minorHAnsi" w:hAnsiTheme="minorHAnsi" w:cstheme="minorBidi"/>
                <w:szCs w:val="22"/>
                <w:highlight w:val="none"/>
              </w:rPr>
            </w:pPr>
            <w:r>
              <w:rPr>
                <w:rFonts w:ascii="宋体" w:hAnsi="宋体" w:eastAsia="宋体" w:cs="宋体"/>
                <w:color w:val="000000"/>
                <w:sz w:val="21"/>
                <w:szCs w:val="22"/>
                <w:highlight w:val="none"/>
              </w:rPr>
              <w:t>用能类型</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4965846D">
            <w:pPr>
              <w:rPr>
                <w:rFonts w:asciiTheme="minorHAnsi" w:hAnsiTheme="minorHAnsi" w:cstheme="minorBidi"/>
                <w:szCs w:val="22"/>
                <w:highlight w:val="none"/>
              </w:rPr>
            </w:pPr>
            <w:r>
              <w:rPr>
                <w:rFonts w:ascii="宋体" w:hAnsi="宋体" w:eastAsia="宋体" w:cs="宋体"/>
                <w:color w:val="000000"/>
                <w:sz w:val="21"/>
                <w:szCs w:val="22"/>
                <w:highlight w:val="none"/>
              </w:rPr>
              <w:t>燃气、太阳能</w:t>
            </w:r>
          </w:p>
        </w:tc>
      </w:tr>
      <w:tr w14:paraId="17C52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29DF48F7">
            <w:pPr>
              <w:jc w:val="center"/>
              <w:rPr>
                <w:rFonts w:asciiTheme="minorHAnsi" w:hAnsiTheme="minorHAnsi" w:cstheme="minorBidi"/>
                <w:szCs w:val="22"/>
                <w:highlight w:val="none"/>
              </w:rPr>
            </w:pPr>
            <w:r>
              <w:rPr>
                <w:rFonts w:ascii="宋体" w:hAnsi="宋体" w:eastAsia="宋体" w:cs="宋体"/>
                <w:color w:val="000000"/>
                <w:sz w:val="21"/>
                <w:szCs w:val="22"/>
                <w:highlight w:val="none"/>
              </w:rPr>
              <w:t>照明</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45F1E6B">
            <w:pPr>
              <w:jc w:val="center"/>
              <w:rPr>
                <w:rFonts w:asciiTheme="minorHAnsi" w:hAnsiTheme="minorHAnsi" w:cstheme="minorBidi"/>
                <w:szCs w:val="22"/>
                <w:highlight w:val="none"/>
              </w:rPr>
            </w:pPr>
            <w:r>
              <w:rPr>
                <w:rFonts w:ascii="宋体" w:hAnsi="宋体" w:eastAsia="宋体" w:cs="宋体"/>
                <w:color w:val="000000"/>
                <w:sz w:val="21"/>
                <w:szCs w:val="22"/>
                <w:highlight w:val="none"/>
              </w:rPr>
              <w:t>照度</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tcPr>
          <w:p w14:paraId="498C52D0">
            <w:pPr>
              <w:rPr>
                <w:rFonts w:asciiTheme="minorHAnsi" w:hAnsiTheme="minorHAnsi" w:cstheme="minorBidi"/>
                <w:szCs w:val="22"/>
                <w:highlight w:val="none"/>
              </w:rPr>
            </w:pPr>
            <w:r>
              <w:rPr>
                <w:rFonts w:ascii="宋体" w:hAnsi="宋体" w:eastAsia="宋体" w:cs="宋体"/>
                <w:color w:val="000000"/>
                <w:sz w:val="21"/>
                <w:szCs w:val="22"/>
                <w:highlight w:val="none"/>
              </w:rPr>
              <w:t>起居室、厨房、卫生间</w:t>
            </w:r>
            <w:r>
              <w:rPr>
                <w:rFonts w:asciiTheme="minorHAnsi" w:hAnsiTheme="minorHAnsi" w:cstheme="minorBidi"/>
                <w:color w:val="000000"/>
                <w:sz w:val="21"/>
                <w:szCs w:val="22"/>
                <w:highlight w:val="none"/>
              </w:rPr>
              <w:t>100Lx,</w:t>
            </w:r>
            <w:r>
              <w:rPr>
                <w:rFonts w:ascii="宋体" w:hAnsi="宋体" w:eastAsia="宋体" w:cs="宋体"/>
                <w:color w:val="000000"/>
                <w:sz w:val="21"/>
                <w:szCs w:val="22"/>
                <w:highlight w:val="none"/>
              </w:rPr>
              <w:t>卧室</w:t>
            </w:r>
            <w:r>
              <w:rPr>
                <w:rFonts w:asciiTheme="minorHAnsi" w:hAnsiTheme="minorHAnsi" w:cstheme="minorBidi"/>
                <w:color w:val="000000"/>
                <w:sz w:val="21"/>
                <w:szCs w:val="22"/>
                <w:highlight w:val="none"/>
              </w:rPr>
              <w:t>75Lx,</w:t>
            </w:r>
            <w:r>
              <w:rPr>
                <w:rFonts w:ascii="宋体" w:hAnsi="宋体" w:eastAsia="宋体" w:cs="宋体"/>
                <w:color w:val="000000"/>
                <w:sz w:val="21"/>
                <w:szCs w:val="22"/>
                <w:highlight w:val="none"/>
              </w:rPr>
              <w:t>餐厅</w:t>
            </w:r>
            <w:r>
              <w:rPr>
                <w:rFonts w:asciiTheme="minorHAnsi" w:hAnsiTheme="minorHAnsi" w:cstheme="minorBidi"/>
                <w:color w:val="000000"/>
                <w:sz w:val="21"/>
                <w:szCs w:val="22"/>
                <w:highlight w:val="none"/>
              </w:rPr>
              <w:t>150Lx,</w:t>
            </w:r>
            <w:r>
              <w:rPr>
                <w:rFonts w:ascii="宋体" w:hAnsi="宋体" w:eastAsia="宋体" w:cs="宋体"/>
                <w:color w:val="000000"/>
                <w:sz w:val="21"/>
                <w:szCs w:val="22"/>
                <w:highlight w:val="none"/>
              </w:rPr>
              <w:t>走廊、楼梯间</w:t>
            </w:r>
            <w:r>
              <w:rPr>
                <w:rFonts w:asciiTheme="minorHAnsi" w:hAnsiTheme="minorHAnsi" w:cstheme="minorBidi"/>
                <w:color w:val="000000"/>
                <w:sz w:val="21"/>
                <w:szCs w:val="22"/>
                <w:highlight w:val="none"/>
              </w:rPr>
              <w:t>100Lx</w:t>
            </w:r>
          </w:p>
        </w:tc>
      </w:tr>
      <w:tr w14:paraId="5967B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4B1B0362">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7E54E100">
            <w:pPr>
              <w:jc w:val="center"/>
              <w:rPr>
                <w:rFonts w:asciiTheme="minorHAnsi" w:hAnsiTheme="minorHAnsi" w:cstheme="minorBidi"/>
                <w:szCs w:val="22"/>
                <w:highlight w:val="none"/>
              </w:rPr>
            </w:pPr>
            <w:r>
              <w:rPr>
                <w:rFonts w:ascii="宋体" w:hAnsi="宋体" w:eastAsia="宋体" w:cs="宋体"/>
                <w:color w:val="000000"/>
                <w:sz w:val="21"/>
                <w:szCs w:val="22"/>
                <w:highlight w:val="none"/>
              </w:rPr>
              <w:t>功率密度</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tcPr>
          <w:p w14:paraId="3B4BA3AB">
            <w:pPr>
              <w:rPr>
                <w:rFonts w:asciiTheme="minorHAnsi" w:hAnsiTheme="minorHAnsi" w:cstheme="minorBidi"/>
                <w:szCs w:val="22"/>
                <w:highlight w:val="none"/>
              </w:rPr>
            </w:pP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4.0W/</w:t>
            </w:r>
            <w:r>
              <w:rPr>
                <w:rFonts w:ascii="宋体" w:hAnsi="宋体" w:eastAsia="宋体" w:cs="宋体"/>
                <w:color w:val="000000"/>
                <w:sz w:val="21"/>
                <w:szCs w:val="22"/>
                <w:highlight w:val="none"/>
              </w:rPr>
              <w:t>㎡</w:t>
            </w:r>
          </w:p>
        </w:tc>
      </w:tr>
      <w:tr w14:paraId="516CB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58ACD2FD">
            <w:pPr>
              <w:jc w:val="center"/>
              <w:rPr>
                <w:rFonts w:asciiTheme="minorHAnsi" w:hAnsiTheme="minorHAnsi" w:cstheme="minorBidi"/>
                <w:szCs w:val="22"/>
                <w:highlight w:val="none"/>
              </w:rPr>
            </w:pPr>
            <w:r>
              <w:rPr>
                <w:rFonts w:ascii="宋体" w:hAnsi="宋体" w:eastAsia="宋体" w:cs="宋体"/>
                <w:color w:val="000000"/>
                <w:sz w:val="21"/>
                <w:szCs w:val="22"/>
                <w:highlight w:val="none"/>
              </w:rPr>
              <w:t>可再生能源利用</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4A4B201B">
            <w:pPr>
              <w:jc w:val="center"/>
              <w:rPr>
                <w:rFonts w:asciiTheme="minorHAnsi" w:hAnsiTheme="minorHAnsi" w:cstheme="minorBidi"/>
                <w:szCs w:val="22"/>
                <w:highlight w:val="none"/>
              </w:rPr>
            </w:pPr>
            <w:r>
              <w:rPr>
                <w:rFonts w:ascii="宋体" w:hAnsi="宋体" w:eastAsia="宋体" w:cs="宋体"/>
                <w:color w:val="000000"/>
                <w:sz w:val="21"/>
                <w:szCs w:val="22"/>
                <w:highlight w:val="none"/>
              </w:rPr>
              <w:t>利用形式</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013CD2B">
            <w:pPr>
              <w:rPr>
                <w:rFonts w:asciiTheme="minorHAnsi" w:hAnsiTheme="minorHAnsi" w:cstheme="minorBidi"/>
                <w:szCs w:val="22"/>
                <w:highlight w:val="none"/>
              </w:rPr>
            </w:pPr>
            <w:r>
              <w:rPr>
                <w:rFonts w:ascii="宋体" w:hAnsi="宋体" w:eastAsia="宋体" w:cs="宋体"/>
                <w:color w:val="000000"/>
                <w:sz w:val="21"/>
                <w:szCs w:val="22"/>
                <w:highlight w:val="none"/>
              </w:rPr>
              <w:t>太阳能光热</w:t>
            </w:r>
          </w:p>
        </w:tc>
      </w:tr>
      <w:tr w14:paraId="5A10A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53AD8B74">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7C416F6">
            <w:pPr>
              <w:jc w:val="center"/>
              <w:rPr>
                <w:rFonts w:asciiTheme="minorHAnsi" w:hAnsiTheme="minorHAnsi" w:cstheme="minorBidi"/>
                <w:szCs w:val="22"/>
                <w:highlight w:val="none"/>
              </w:rPr>
            </w:pPr>
            <w:r>
              <w:rPr>
                <w:rFonts w:ascii="宋体" w:hAnsi="宋体" w:eastAsia="宋体" w:cs="宋体"/>
                <w:color w:val="000000"/>
                <w:sz w:val="21"/>
                <w:szCs w:val="22"/>
                <w:highlight w:val="none"/>
              </w:rPr>
              <w:t>保证率</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68E70EB1">
            <w:pPr>
              <w:jc w:val="center"/>
              <w:rPr>
                <w:rFonts w:asciiTheme="minorHAnsi" w:hAnsiTheme="minorHAnsi" w:cstheme="minorBidi"/>
                <w:szCs w:val="22"/>
                <w:highlight w:val="none"/>
              </w:rPr>
            </w:pPr>
            <w:r>
              <w:rPr>
                <w:rFonts w:asciiTheme="minorHAnsi" w:hAnsiTheme="minorHAnsi" w:cstheme="minorBidi"/>
                <w:color w:val="000000"/>
                <w:sz w:val="21"/>
                <w:szCs w:val="22"/>
                <w:highlight w:val="none"/>
              </w:rPr>
              <w:t>45%</w:t>
            </w:r>
          </w:p>
        </w:tc>
      </w:tr>
      <w:tr w14:paraId="734FA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2A1C14C0">
            <w:pPr>
              <w:jc w:val="center"/>
              <w:rPr>
                <w:rFonts w:asciiTheme="minorHAnsi" w:hAnsiTheme="minorHAnsi" w:cstheme="minorBidi"/>
                <w:szCs w:val="22"/>
                <w:highlight w:val="none"/>
              </w:rPr>
            </w:pPr>
            <w:r>
              <w:rPr>
                <w:rFonts w:ascii="宋体" w:hAnsi="宋体" w:eastAsia="宋体" w:cs="宋体"/>
                <w:color w:val="000000"/>
                <w:sz w:val="21"/>
                <w:szCs w:val="22"/>
                <w:highlight w:val="none"/>
              </w:rPr>
              <w:t>建筑能源利用效率</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E70B41E">
            <w:pPr>
              <w:jc w:val="center"/>
              <w:rPr>
                <w:rFonts w:asciiTheme="minorHAnsi" w:hAnsiTheme="minorHAnsi" w:cstheme="minorBidi"/>
                <w:szCs w:val="22"/>
                <w:highlight w:val="none"/>
              </w:rPr>
            </w:pPr>
            <w:r>
              <w:rPr>
                <w:rFonts w:ascii="宋体" w:hAnsi="宋体" w:eastAsia="宋体" w:cs="宋体"/>
                <w:color w:val="000000"/>
                <w:sz w:val="21"/>
                <w:szCs w:val="22"/>
                <w:highlight w:val="none"/>
              </w:rPr>
              <w:t>本建筑的节能率与建筑节能标准比较情况</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048922CE">
            <w:pPr>
              <w:rPr>
                <w:rFonts w:asciiTheme="minorHAnsi" w:hAnsiTheme="minorHAnsi" w:cstheme="minorBidi"/>
                <w:szCs w:val="22"/>
                <w:highlight w:val="none"/>
              </w:rPr>
            </w:pPr>
            <w:r>
              <w:rPr>
                <w:rFonts w:ascii="宋体" w:hAnsi="宋体" w:eastAsia="宋体" w:cs="宋体"/>
                <w:color w:val="000000"/>
                <w:sz w:val="21"/>
                <w:szCs w:val="22"/>
                <w:highlight w:val="none"/>
              </w:rPr>
              <w:t>满足标准规定</w:t>
            </w:r>
          </w:p>
        </w:tc>
      </w:tr>
    </w:tbl>
    <w:p w14:paraId="249DB560">
      <w:pPr>
        <w:rPr>
          <w:highlight w:val="none"/>
        </w:rPr>
      </w:pPr>
      <w:r>
        <w:rPr>
          <w:rFonts w:ascii="宋体" w:hAnsi="宋体" w:eastAsia="宋体" w:cs="宋体"/>
          <w:color w:val="000000"/>
          <w:sz w:val="21"/>
          <w:highlight w:val="none"/>
        </w:rPr>
        <w:t>填表内容说明：</w:t>
      </w:r>
    </w:p>
    <w:p w14:paraId="632EC408">
      <w:pPr>
        <w:ind w:firstLine="420" w:firstLineChars="200"/>
        <w:rPr>
          <w:highlight w:val="none"/>
        </w:rPr>
      </w:pPr>
      <w:r>
        <w:rPr>
          <w:rFonts w:ascii="宋体" w:hAnsi="宋体" w:eastAsia="宋体" w:cs="宋体"/>
          <w:color w:val="000000"/>
          <w:sz w:val="21"/>
          <w:highlight w:val="none"/>
        </w:rPr>
        <w:t>一、本表所填内容应与建筑节能报审表、经审查合格的节能设计文件一致；</w:t>
      </w:r>
    </w:p>
    <w:p w14:paraId="23BD6077">
      <w:pPr>
        <w:ind w:firstLine="420" w:firstLineChars="200"/>
        <w:rPr>
          <w:highlight w:val="none"/>
        </w:rPr>
      </w:pPr>
      <w:r>
        <w:rPr>
          <w:rFonts w:ascii="宋体" w:hAnsi="宋体" w:eastAsia="宋体" w:cs="宋体"/>
          <w:color w:val="000000"/>
          <w:sz w:val="21"/>
          <w:highlight w:val="none"/>
        </w:rPr>
        <w:t>二、门窗类型包括：断热桥铝合金中空玻璃窗、断热桥铝合金</w:t>
      </w:r>
      <w:r>
        <w:rPr>
          <w:color w:val="000000"/>
          <w:sz w:val="21"/>
          <w:highlight w:val="none"/>
        </w:rPr>
        <w:t>LOW-E</w:t>
      </w:r>
      <w:r>
        <w:rPr>
          <w:rFonts w:ascii="宋体" w:hAnsi="宋体" w:eastAsia="宋体" w:cs="宋体"/>
          <w:color w:val="000000"/>
          <w:sz w:val="21"/>
          <w:highlight w:val="none"/>
        </w:rPr>
        <w:t>中空玻璃窗、塑钢中空玻璃窗、塑钢</w:t>
      </w:r>
      <w:r>
        <w:rPr>
          <w:color w:val="000000"/>
          <w:sz w:val="21"/>
          <w:highlight w:val="none"/>
        </w:rPr>
        <w:t>LOW-E</w:t>
      </w:r>
      <w:r>
        <w:rPr>
          <w:rFonts w:ascii="宋体" w:hAnsi="宋体" w:eastAsia="宋体" w:cs="宋体"/>
          <w:color w:val="000000"/>
          <w:sz w:val="21"/>
          <w:highlight w:val="none"/>
        </w:rPr>
        <w:t>中空玻璃窗、塑钢单层玻璃窗、其他。</w:t>
      </w:r>
    </w:p>
    <w:p w14:paraId="74C6490A">
      <w:pPr>
        <w:ind w:firstLine="420" w:firstLineChars="200"/>
        <w:rPr>
          <w:highlight w:val="none"/>
        </w:rPr>
      </w:pPr>
      <w:r>
        <w:rPr>
          <w:rFonts w:ascii="宋体" w:hAnsi="宋体" w:eastAsia="宋体" w:cs="宋体"/>
          <w:color w:val="000000"/>
          <w:sz w:val="21"/>
          <w:highlight w:val="none"/>
        </w:rPr>
        <w:t>三、室内采暖形式包括：散热器供暖、地面辐射供暖、其他。</w:t>
      </w:r>
    </w:p>
    <w:p w14:paraId="6C1FD891">
      <w:pPr>
        <w:ind w:firstLine="420" w:firstLineChars="200"/>
        <w:rPr>
          <w:highlight w:val="none"/>
        </w:rPr>
      </w:pPr>
      <w:r>
        <w:rPr>
          <w:rFonts w:ascii="宋体" w:hAnsi="宋体" w:eastAsia="宋体" w:cs="宋体"/>
          <w:color w:val="000000"/>
          <w:sz w:val="21"/>
          <w:highlight w:val="none"/>
        </w:rPr>
        <w:t>四、热计量方式包括：户用热计量表法、热分配计法、温度法、楼栋热量表法、其他。</w:t>
      </w:r>
    </w:p>
    <w:p w14:paraId="33C53BFB">
      <w:pPr>
        <w:ind w:firstLine="420" w:firstLineChars="200"/>
        <w:rPr>
          <w:highlight w:val="none"/>
        </w:rPr>
      </w:pPr>
      <w:r>
        <w:rPr>
          <w:rFonts w:ascii="宋体" w:hAnsi="宋体" w:eastAsia="宋体" w:cs="宋体"/>
          <w:color w:val="000000"/>
          <w:sz w:val="21"/>
          <w:highlight w:val="none"/>
        </w:rPr>
        <w:t>五、系统调节装置包括：静态水力平衡阀、自力式压差控制阀、散热器恒温阀、其他。</w:t>
      </w:r>
    </w:p>
    <w:p w14:paraId="3855A15F">
      <w:pPr>
        <w:ind w:firstLine="420" w:firstLineChars="200"/>
        <w:rPr>
          <w:highlight w:val="none"/>
        </w:rPr>
      </w:pPr>
      <w:r>
        <w:rPr>
          <w:rFonts w:ascii="宋体" w:hAnsi="宋体" w:eastAsia="宋体" w:cs="宋体"/>
          <w:color w:val="000000"/>
          <w:sz w:val="21"/>
          <w:highlight w:val="none"/>
        </w:rPr>
        <w:t>六、空调冷热源类型包括：压缩式冷水（热泵）机组、吸收式冷水机组、分体式房间空调器、多联机、区域集中供冷、独立冷热源集中供冷、其他。</w:t>
      </w:r>
    </w:p>
    <w:p w14:paraId="4DF8A30A">
      <w:pPr>
        <w:ind w:firstLine="420" w:firstLineChars="200"/>
        <w:rPr>
          <w:highlight w:val="none"/>
        </w:rPr>
      </w:pPr>
      <w:r>
        <w:rPr>
          <w:rFonts w:ascii="宋体" w:hAnsi="宋体" w:eastAsia="宋体" w:cs="宋体"/>
          <w:color w:val="000000"/>
          <w:sz w:val="21"/>
          <w:highlight w:val="none"/>
        </w:rPr>
        <w:t>七、热水供应方式包括：集中式、分散式。</w:t>
      </w:r>
    </w:p>
    <w:p w14:paraId="3751A630">
      <w:pPr>
        <w:ind w:firstLine="420" w:firstLineChars="200"/>
        <w:rPr>
          <w:highlight w:val="none"/>
        </w:rPr>
      </w:pPr>
      <w:r>
        <w:rPr>
          <w:rFonts w:ascii="宋体" w:hAnsi="宋体" w:eastAsia="宋体" w:cs="宋体"/>
          <w:color w:val="000000"/>
          <w:sz w:val="21"/>
          <w:highlight w:val="none"/>
        </w:rPr>
        <w:t>八、热水利用用能类型包括：电、燃气、太阳能、蒸汽、其他。</w:t>
      </w:r>
    </w:p>
    <w:p w14:paraId="5F71D39A">
      <w:pPr>
        <w:ind w:firstLine="420"/>
        <w:rPr>
          <w:highlight w:val="none"/>
        </w:rPr>
      </w:pPr>
      <w:r>
        <w:rPr>
          <w:rFonts w:ascii="宋体" w:hAnsi="宋体" w:eastAsia="宋体" w:cs="宋体"/>
          <w:color w:val="000000"/>
          <w:sz w:val="21"/>
          <w:highlight w:val="none"/>
        </w:rPr>
        <w:t>九、本建筑的节能率与建筑节能标准比较情况包括：优于标准规定、满足标准规定、不符合标准规定。</w:t>
      </w:r>
    </w:p>
    <w:p w14:paraId="739817A8">
      <w:pPr>
        <w:tabs>
          <w:tab w:val="left" w:pos="644"/>
        </w:tabs>
        <w:snapToGrid w:val="0"/>
        <w:spacing w:before="156" w:beforeLines="50" w:after="156" w:afterLines="50"/>
        <w:jc w:val="center"/>
        <w:rPr>
          <w:rFonts w:ascii="黑体" w:hAnsi="宋体" w:eastAsia="黑体"/>
          <w:color w:val="000000" w:themeColor="text1"/>
          <w:szCs w:val="32"/>
          <w:highlight w:val="none"/>
          <w14:textFill>
            <w14:solidFill>
              <w14:schemeClr w14:val="tx1"/>
            </w14:solidFill>
          </w14:textFill>
        </w:rPr>
      </w:pPr>
    </w:p>
    <w:p w14:paraId="1102549E">
      <w:pPr>
        <w:tabs>
          <w:tab w:val="left" w:pos="644"/>
        </w:tabs>
        <w:snapToGrid w:val="0"/>
        <w:spacing w:before="156" w:beforeLines="50" w:after="156" w:afterLines="50"/>
        <w:jc w:val="center"/>
        <w:rPr>
          <w:rFonts w:ascii="黑体" w:hAnsi="宋体" w:eastAsia="黑体"/>
          <w:color w:val="000000" w:themeColor="text1"/>
          <w:szCs w:val="32"/>
          <w:highlight w:val="none"/>
          <w14:textFill>
            <w14:solidFill>
              <w14:schemeClr w14:val="tx1"/>
            </w14:solidFill>
          </w14:textFill>
        </w:rPr>
      </w:pPr>
      <w:r>
        <w:rPr>
          <w:rFonts w:hint="eastAsia" w:ascii="黑体" w:hAnsi="宋体" w:eastAsia="黑体"/>
          <w:color w:val="000000" w:themeColor="text1"/>
          <w:szCs w:val="32"/>
          <w:highlight w:val="none"/>
          <w14:textFill>
            <w14:solidFill>
              <w14:schemeClr w14:val="tx1"/>
            </w14:solidFill>
          </w14:textFill>
        </w:rPr>
        <w:br w:type="page"/>
      </w:r>
    </w:p>
    <w:p w14:paraId="49D3ADEC">
      <w:pPr>
        <w:jc w:val="center"/>
        <w:rPr>
          <w:highlight w:val="none"/>
        </w:rPr>
      </w:pPr>
      <w:r>
        <w:rPr>
          <w:rFonts w:ascii="黑体" w:hAnsi="黑体" w:eastAsia="黑体" w:cs="黑体"/>
          <w:color w:val="000000"/>
          <w:highlight w:val="none"/>
        </w:rPr>
        <w:t>民用建筑节能信息销售现场公示表</w:t>
      </w:r>
    </w:p>
    <w:tbl>
      <w:tblPr>
        <w:tblStyle w:val="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5"/>
        <w:gridCol w:w="1650"/>
        <w:gridCol w:w="3840"/>
        <w:gridCol w:w="3180"/>
      </w:tblGrid>
      <w:tr w14:paraId="6DE19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0778BDFF">
            <w:pPr>
              <w:jc w:val="center"/>
              <w:rPr>
                <w:rFonts w:asciiTheme="minorHAnsi" w:hAnsiTheme="minorHAnsi" w:cstheme="minorBidi"/>
                <w:szCs w:val="22"/>
                <w:highlight w:val="none"/>
              </w:rPr>
            </w:pPr>
            <w:r>
              <w:rPr>
                <w:rFonts w:ascii="宋体" w:hAnsi="宋体" w:eastAsia="宋体" w:cs="宋体"/>
                <w:color w:val="000000"/>
                <w:sz w:val="21"/>
                <w:szCs w:val="22"/>
                <w:highlight w:val="none"/>
              </w:rPr>
              <w:t>建设单位</w:t>
            </w:r>
          </w:p>
        </w:tc>
        <w:tc>
          <w:tcPr>
            <w:tcW w:w="8670" w:type="dxa"/>
            <w:gridSpan w:val="3"/>
            <w:tcBorders>
              <w:top w:val="single" w:color="000000" w:sz="8"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67E30CBC">
            <w:pPr>
              <w:jc w:val="center"/>
              <w:rPr>
                <w:rFonts w:asciiTheme="minorHAnsi" w:hAnsiTheme="minorHAnsi" w:cstheme="minorBidi"/>
                <w:szCs w:val="22"/>
                <w:highlight w:val="none"/>
              </w:rPr>
            </w:pPr>
            <w:r>
              <w:rPr>
                <w:rFonts w:ascii="宋体" w:hAnsi="宋体" w:eastAsia="宋体" w:cs="宋体"/>
                <w:color w:val="000000"/>
                <w:sz w:val="21"/>
                <w:szCs w:val="22"/>
                <w:highlight w:val="none"/>
              </w:rPr>
              <w:t>无锡山水嘉泰置业有限公司</w:t>
            </w:r>
          </w:p>
        </w:tc>
      </w:tr>
      <w:tr w14:paraId="13C42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477C1585">
            <w:pPr>
              <w:jc w:val="center"/>
              <w:rPr>
                <w:rFonts w:asciiTheme="minorHAnsi" w:hAnsiTheme="minorHAnsi" w:cstheme="minorBidi"/>
                <w:szCs w:val="22"/>
                <w:highlight w:val="none"/>
              </w:rPr>
            </w:pPr>
            <w:r>
              <w:rPr>
                <w:rFonts w:ascii="宋体" w:hAnsi="宋体" w:eastAsia="宋体" w:cs="宋体"/>
                <w:color w:val="000000"/>
                <w:sz w:val="21"/>
                <w:szCs w:val="22"/>
                <w:highlight w:val="none"/>
              </w:rPr>
              <w:t>项目名称</w:t>
            </w:r>
          </w:p>
        </w:tc>
        <w:tc>
          <w:tcPr>
            <w:tcW w:w="8670" w:type="dxa"/>
            <w:gridSpan w:val="3"/>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55F60DE">
            <w:pPr>
              <w:jc w:val="center"/>
              <w:rPr>
                <w:rFonts w:asciiTheme="minorHAnsi" w:hAnsiTheme="minorHAnsi" w:cstheme="minorBidi"/>
                <w:szCs w:val="22"/>
                <w:highlight w:val="none"/>
              </w:rPr>
            </w:pPr>
            <w:r>
              <w:rPr>
                <w:rFonts w:asciiTheme="minorHAnsi" w:hAnsiTheme="minorHAnsi" w:cstheme="minorBidi"/>
                <w:color w:val="000000"/>
                <w:sz w:val="21"/>
                <w:szCs w:val="22"/>
                <w:highlight w:val="none"/>
              </w:rPr>
              <w:t>XDG-2024-34</w:t>
            </w:r>
            <w:r>
              <w:rPr>
                <w:rFonts w:ascii="宋体" w:hAnsi="宋体" w:eastAsia="宋体" w:cs="宋体"/>
                <w:color w:val="000000"/>
                <w:sz w:val="21"/>
                <w:szCs w:val="22"/>
                <w:highlight w:val="none"/>
              </w:rPr>
              <w:t>号地块</w:t>
            </w:r>
            <w:r>
              <w:rPr>
                <w:rFonts w:asciiTheme="minorHAnsi" w:hAnsiTheme="minorHAnsi" w:cstheme="minorBidi"/>
                <w:color w:val="000000"/>
                <w:sz w:val="21"/>
                <w:szCs w:val="22"/>
                <w:highlight w:val="none"/>
              </w:rPr>
              <w:t>-4#</w:t>
            </w:r>
          </w:p>
        </w:tc>
      </w:tr>
      <w:tr w14:paraId="19E00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5967E401">
            <w:pPr>
              <w:jc w:val="center"/>
              <w:rPr>
                <w:rFonts w:asciiTheme="minorHAnsi" w:hAnsiTheme="minorHAnsi" w:cstheme="minorBidi"/>
                <w:szCs w:val="22"/>
                <w:highlight w:val="none"/>
              </w:rPr>
            </w:pPr>
            <w:r>
              <w:rPr>
                <w:rFonts w:ascii="宋体" w:hAnsi="宋体" w:eastAsia="宋体" w:cs="宋体"/>
                <w:color w:val="000000"/>
                <w:sz w:val="21"/>
                <w:szCs w:val="22"/>
                <w:highlight w:val="none"/>
              </w:rPr>
              <w:t>围护结构</w:t>
            </w:r>
          </w:p>
        </w:tc>
        <w:tc>
          <w:tcPr>
            <w:tcW w:w="165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531A5D9">
            <w:pPr>
              <w:jc w:val="center"/>
              <w:rPr>
                <w:rFonts w:asciiTheme="minorHAnsi" w:hAnsiTheme="minorHAnsi" w:cstheme="minorBidi"/>
                <w:szCs w:val="22"/>
                <w:highlight w:val="none"/>
              </w:rPr>
            </w:pPr>
            <w:r>
              <w:rPr>
                <w:rFonts w:ascii="宋体" w:hAnsi="宋体" w:eastAsia="宋体" w:cs="宋体"/>
                <w:color w:val="000000"/>
                <w:sz w:val="21"/>
                <w:szCs w:val="22"/>
                <w:highlight w:val="none"/>
              </w:rPr>
              <w:t>墙体</w:t>
            </w:r>
          </w:p>
        </w:tc>
        <w:tc>
          <w:tcPr>
            <w:tcW w:w="3840" w:type="dxa"/>
            <w:tcBorders>
              <w:top w:val="single" w:color="000000" w:sz="8"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BB68EC8">
            <w:pPr>
              <w:spacing w:line="360" w:lineRule="exact"/>
              <w:jc w:val="center"/>
              <w:rPr>
                <w:rFonts w:asciiTheme="minorHAnsi" w:hAnsiTheme="minorHAnsi" w:cstheme="minorBidi"/>
                <w:szCs w:val="22"/>
                <w:highlight w:val="none"/>
              </w:rPr>
            </w:pPr>
            <w:r>
              <w:rPr>
                <w:rFonts w:ascii="宋体" w:hAnsi="宋体" w:eastAsia="宋体" w:cs="宋体"/>
                <w:color w:val="000000"/>
                <w:sz w:val="21"/>
                <w:szCs w:val="22"/>
                <w:highlight w:val="none"/>
              </w:rPr>
              <w:t>传热系数（</w:t>
            </w:r>
            <w:r>
              <w:rPr>
                <w:rFonts w:asciiTheme="minorHAnsi" w:hAnsiTheme="minorHAnsi" w:cstheme="minorBidi"/>
                <w:color w:val="000000"/>
                <w:sz w:val="21"/>
                <w:szCs w:val="22"/>
                <w:highlight w:val="none"/>
              </w:rPr>
              <w:t>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w:t>
            </w:r>
            <w:r>
              <w:rPr>
                <w:rFonts w:ascii="宋体" w:hAnsi="宋体" w:eastAsia="宋体" w:cs="宋体"/>
                <w:color w:val="000000"/>
                <w:sz w:val="21"/>
                <w:szCs w:val="22"/>
                <w:highlight w:val="none"/>
              </w:rPr>
              <w:t>）保温材料层厚度（</w:t>
            </w:r>
            <w:r>
              <w:rPr>
                <w:rFonts w:asciiTheme="minorHAnsi" w:hAnsiTheme="minorHAnsi" w:cstheme="minorBidi"/>
                <w:color w:val="000000"/>
                <w:sz w:val="21"/>
                <w:szCs w:val="22"/>
                <w:highlight w:val="none"/>
              </w:rPr>
              <w:t>mm</w:t>
            </w:r>
            <w:r>
              <w:rPr>
                <w:rFonts w:ascii="宋体" w:hAnsi="宋体" w:eastAsia="宋体" w:cs="宋体"/>
                <w:color w:val="000000"/>
                <w:sz w:val="21"/>
                <w:szCs w:val="22"/>
                <w:highlight w:val="none"/>
              </w:rPr>
              <w:t>）</w:t>
            </w:r>
          </w:p>
        </w:tc>
        <w:tc>
          <w:tcPr>
            <w:tcW w:w="3180" w:type="dxa"/>
            <w:tcBorders>
              <w:top w:val="single" w:color="000000" w:sz="8"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D92FA9D">
            <w:pPr>
              <w:spacing w:line="360" w:lineRule="exact"/>
              <w:rPr>
                <w:rFonts w:asciiTheme="minorHAnsi" w:hAnsiTheme="minorHAnsi" w:cstheme="minorBidi"/>
                <w:szCs w:val="22"/>
                <w:highlight w:val="none"/>
              </w:rPr>
            </w:pPr>
            <w:r>
              <w:rPr>
                <w:rFonts w:asciiTheme="minorHAnsi" w:hAnsiTheme="minorHAnsi" w:cstheme="minorBidi"/>
                <w:color w:val="000000"/>
                <w:sz w:val="21"/>
                <w:szCs w:val="22"/>
                <w:highlight w:val="none"/>
              </w:rPr>
              <w:t>0.79W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 ,  45mm</w:t>
            </w:r>
          </w:p>
        </w:tc>
      </w:tr>
      <w:tr w14:paraId="2846C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73DB350D">
            <w:pPr>
              <w:rPr>
                <w:rFonts w:asciiTheme="minorHAnsi" w:hAnsiTheme="minorHAnsi" w:cstheme="minorBidi"/>
                <w:szCs w:val="22"/>
                <w:highlight w:val="none"/>
              </w:rPr>
            </w:pPr>
          </w:p>
        </w:tc>
        <w:tc>
          <w:tcPr>
            <w:tcW w:w="165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3A20786C">
            <w:pPr>
              <w:jc w:val="center"/>
              <w:rPr>
                <w:rFonts w:asciiTheme="minorHAnsi" w:hAnsiTheme="minorHAnsi" w:cstheme="minorBidi"/>
                <w:szCs w:val="22"/>
                <w:highlight w:val="none"/>
              </w:rPr>
            </w:pPr>
            <w:r>
              <w:rPr>
                <w:rFonts w:ascii="宋体" w:hAnsi="宋体" w:eastAsia="宋体" w:cs="宋体"/>
                <w:color w:val="000000"/>
                <w:sz w:val="21"/>
                <w:szCs w:val="22"/>
                <w:highlight w:val="none"/>
              </w:rPr>
              <w:t>屋面</w:t>
            </w:r>
          </w:p>
        </w:tc>
        <w:tc>
          <w:tcPr>
            <w:tcW w:w="384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86BA74C">
            <w:pPr>
              <w:jc w:val="center"/>
              <w:rPr>
                <w:rFonts w:asciiTheme="minorHAnsi" w:hAnsiTheme="minorHAnsi" w:cstheme="minorBidi"/>
                <w:szCs w:val="22"/>
                <w:highlight w:val="none"/>
              </w:rPr>
            </w:pPr>
            <w:r>
              <w:rPr>
                <w:rFonts w:ascii="宋体" w:hAnsi="宋体" w:eastAsia="宋体" w:cs="宋体"/>
                <w:color w:val="000000"/>
                <w:sz w:val="21"/>
                <w:szCs w:val="22"/>
                <w:highlight w:val="none"/>
              </w:rPr>
              <w:t>传热系数（</w:t>
            </w:r>
            <w:r>
              <w:rPr>
                <w:rFonts w:asciiTheme="minorHAnsi" w:hAnsiTheme="minorHAnsi" w:cstheme="minorBidi"/>
                <w:color w:val="000000"/>
                <w:sz w:val="21"/>
                <w:szCs w:val="22"/>
                <w:highlight w:val="none"/>
              </w:rPr>
              <w:t>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w:t>
            </w:r>
            <w:r>
              <w:rPr>
                <w:rFonts w:ascii="宋体" w:hAnsi="宋体" w:eastAsia="宋体" w:cs="宋体"/>
                <w:color w:val="000000"/>
                <w:sz w:val="21"/>
                <w:szCs w:val="22"/>
                <w:highlight w:val="none"/>
              </w:rPr>
              <w:t>）保温材料层厚度（</w:t>
            </w:r>
            <w:r>
              <w:rPr>
                <w:rFonts w:asciiTheme="minorHAnsi" w:hAnsiTheme="minorHAnsi" w:cstheme="minorBidi"/>
                <w:color w:val="000000"/>
                <w:sz w:val="21"/>
                <w:szCs w:val="22"/>
                <w:highlight w:val="none"/>
              </w:rPr>
              <w:t>mm</w:t>
            </w:r>
            <w:r>
              <w:rPr>
                <w:rFonts w:ascii="宋体" w:hAnsi="宋体" w:eastAsia="宋体" w:cs="宋体"/>
                <w:color w:val="000000"/>
                <w:sz w:val="21"/>
                <w:szCs w:val="22"/>
                <w:highlight w:val="none"/>
              </w:rPr>
              <w:t>）</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716E3ADB">
            <w:pPr>
              <w:rPr>
                <w:rFonts w:asciiTheme="minorHAnsi" w:hAnsiTheme="minorHAnsi" w:cstheme="minorBidi"/>
                <w:szCs w:val="22"/>
                <w:highlight w:val="none"/>
              </w:rPr>
            </w:pPr>
            <w:r>
              <w:rPr>
                <w:rFonts w:asciiTheme="minorHAnsi" w:hAnsiTheme="minorHAnsi" w:cstheme="minorBidi"/>
                <w:color w:val="000000"/>
                <w:sz w:val="21"/>
                <w:szCs w:val="22"/>
                <w:highlight w:val="none"/>
              </w:rPr>
              <w:t>0.40W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 ,  105mm</w:t>
            </w:r>
          </w:p>
        </w:tc>
      </w:tr>
      <w:tr w14:paraId="70D96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50F1FABA">
            <w:pPr>
              <w:rPr>
                <w:rFonts w:asciiTheme="minorHAnsi" w:hAnsiTheme="minorHAnsi" w:cstheme="minorBidi"/>
                <w:szCs w:val="22"/>
                <w:highlight w:val="none"/>
              </w:rPr>
            </w:pPr>
          </w:p>
        </w:tc>
        <w:tc>
          <w:tcPr>
            <w:tcW w:w="165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57A31E9">
            <w:pPr>
              <w:jc w:val="center"/>
              <w:rPr>
                <w:rFonts w:asciiTheme="minorHAnsi" w:hAnsiTheme="minorHAnsi" w:cstheme="minorBidi"/>
                <w:szCs w:val="22"/>
                <w:highlight w:val="none"/>
              </w:rPr>
            </w:pPr>
            <w:r>
              <w:rPr>
                <w:rFonts w:ascii="宋体" w:hAnsi="宋体" w:eastAsia="宋体" w:cs="宋体"/>
                <w:color w:val="000000"/>
                <w:sz w:val="21"/>
                <w:szCs w:val="22"/>
                <w:highlight w:val="none"/>
              </w:rPr>
              <w:t>地面</w:t>
            </w:r>
          </w:p>
        </w:tc>
        <w:tc>
          <w:tcPr>
            <w:tcW w:w="384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6ABFAE43">
            <w:pPr>
              <w:jc w:val="center"/>
              <w:rPr>
                <w:rFonts w:asciiTheme="minorHAnsi" w:hAnsiTheme="minorHAnsi" w:cstheme="minorBidi"/>
                <w:szCs w:val="22"/>
                <w:highlight w:val="none"/>
              </w:rPr>
            </w:pPr>
            <w:r>
              <w:rPr>
                <w:rFonts w:ascii="宋体" w:hAnsi="宋体" w:eastAsia="宋体" w:cs="宋体"/>
                <w:color w:val="000000"/>
                <w:sz w:val="21"/>
                <w:szCs w:val="22"/>
                <w:highlight w:val="none"/>
              </w:rPr>
              <w:t>传热系数（</w:t>
            </w:r>
            <w:r>
              <w:rPr>
                <w:rFonts w:asciiTheme="minorHAnsi" w:hAnsiTheme="minorHAnsi" w:cstheme="minorBidi"/>
                <w:color w:val="000000"/>
                <w:sz w:val="21"/>
                <w:szCs w:val="22"/>
                <w:highlight w:val="none"/>
              </w:rPr>
              <w:t>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w:t>
            </w:r>
            <w:r>
              <w:rPr>
                <w:rFonts w:ascii="宋体" w:hAnsi="宋体" w:eastAsia="宋体" w:cs="宋体"/>
                <w:color w:val="000000"/>
                <w:sz w:val="21"/>
                <w:szCs w:val="22"/>
                <w:highlight w:val="none"/>
              </w:rPr>
              <w:t>）保温材料层厚度（</w:t>
            </w:r>
            <w:r>
              <w:rPr>
                <w:rFonts w:asciiTheme="minorHAnsi" w:hAnsiTheme="minorHAnsi" w:cstheme="minorBidi"/>
                <w:color w:val="000000"/>
                <w:sz w:val="21"/>
                <w:szCs w:val="22"/>
                <w:highlight w:val="none"/>
              </w:rPr>
              <w:t>mm</w:t>
            </w:r>
            <w:r>
              <w:rPr>
                <w:rFonts w:ascii="宋体" w:hAnsi="宋体" w:eastAsia="宋体" w:cs="宋体"/>
                <w:color w:val="000000"/>
                <w:sz w:val="21"/>
                <w:szCs w:val="22"/>
                <w:highlight w:val="none"/>
              </w:rPr>
              <w:t>）</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3754F59A">
            <w:pPr>
              <w:rPr>
                <w:rFonts w:asciiTheme="minorHAnsi" w:hAnsiTheme="minorHAnsi" w:cstheme="minorBidi"/>
                <w:szCs w:val="22"/>
                <w:highlight w:val="none"/>
              </w:rPr>
            </w:pPr>
            <w:r>
              <w:rPr>
                <w:rFonts w:asciiTheme="minorHAnsi" w:hAnsiTheme="minorHAnsi" w:cstheme="minorBidi"/>
                <w:color w:val="000000"/>
                <w:sz w:val="21"/>
                <w:szCs w:val="22"/>
                <w:highlight w:val="none"/>
              </w:rPr>
              <w:t>1.13W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 ,  30mm</w:t>
            </w:r>
          </w:p>
        </w:tc>
      </w:tr>
      <w:tr w14:paraId="604B8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56887920">
            <w:pPr>
              <w:rPr>
                <w:rFonts w:asciiTheme="minorHAnsi" w:hAnsiTheme="minorHAnsi" w:cstheme="minorBidi"/>
                <w:szCs w:val="22"/>
                <w:highlight w:val="none"/>
              </w:rPr>
            </w:pPr>
          </w:p>
        </w:tc>
        <w:tc>
          <w:tcPr>
            <w:tcW w:w="1650" w:type="dxa"/>
            <w:vMerge w:val="restart"/>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6AF0A191">
            <w:pPr>
              <w:jc w:val="center"/>
              <w:rPr>
                <w:rFonts w:asciiTheme="minorHAnsi" w:hAnsiTheme="minorHAnsi" w:cstheme="minorBidi"/>
                <w:szCs w:val="22"/>
                <w:highlight w:val="none"/>
              </w:rPr>
            </w:pPr>
            <w:r>
              <w:rPr>
                <w:rFonts w:ascii="宋体" w:hAnsi="宋体" w:eastAsia="宋体" w:cs="宋体"/>
                <w:color w:val="000000"/>
                <w:sz w:val="21"/>
                <w:szCs w:val="22"/>
                <w:highlight w:val="none"/>
              </w:rPr>
              <w:t>门窗</w:t>
            </w:r>
          </w:p>
        </w:tc>
        <w:tc>
          <w:tcPr>
            <w:tcW w:w="384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38109862">
            <w:pPr>
              <w:jc w:val="center"/>
              <w:rPr>
                <w:rFonts w:asciiTheme="minorHAnsi" w:hAnsiTheme="minorHAnsi" w:cstheme="minorBidi"/>
                <w:szCs w:val="22"/>
                <w:highlight w:val="none"/>
              </w:rPr>
            </w:pPr>
            <w:r>
              <w:rPr>
                <w:rFonts w:ascii="宋体" w:hAnsi="宋体" w:eastAsia="宋体" w:cs="宋体"/>
                <w:color w:val="000000"/>
                <w:sz w:val="21"/>
                <w:szCs w:val="22"/>
                <w:highlight w:val="none"/>
              </w:rPr>
              <w:t>传热系数</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AF741C5">
            <w:pPr>
              <w:rPr>
                <w:rFonts w:asciiTheme="minorHAnsi" w:hAnsiTheme="minorHAnsi" w:cstheme="minorBidi"/>
                <w:szCs w:val="22"/>
                <w:highlight w:val="none"/>
              </w:rPr>
            </w:pPr>
            <w:r>
              <w:rPr>
                <w:rFonts w:asciiTheme="minorHAnsi" w:hAnsiTheme="minorHAnsi" w:cstheme="minorBidi"/>
                <w:color w:val="000000"/>
                <w:sz w:val="21"/>
                <w:szCs w:val="22"/>
                <w:highlight w:val="none"/>
              </w:rPr>
              <w:t>1.80W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w:t>
            </w:r>
          </w:p>
        </w:tc>
      </w:tr>
      <w:tr w14:paraId="328E8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2AAEEADB">
            <w:pPr>
              <w:rPr>
                <w:rFonts w:asciiTheme="minorHAnsi" w:hAnsiTheme="minorHAnsi" w:cstheme="minorBidi"/>
                <w:szCs w:val="22"/>
                <w:highlight w:val="none"/>
              </w:rPr>
            </w:pPr>
          </w:p>
        </w:tc>
        <w:tc>
          <w:tcPr>
            <w:tcW w:w="1650" w:type="dxa"/>
            <w:vMerge w:val="continue"/>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0F330704">
            <w:pPr>
              <w:rPr>
                <w:rFonts w:asciiTheme="minorHAnsi" w:hAnsiTheme="minorHAnsi" w:cstheme="minorBidi"/>
                <w:szCs w:val="22"/>
                <w:highlight w:val="none"/>
              </w:rPr>
            </w:pPr>
          </w:p>
        </w:tc>
        <w:tc>
          <w:tcPr>
            <w:tcW w:w="384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5CF2EEB">
            <w:pPr>
              <w:jc w:val="center"/>
              <w:rPr>
                <w:rFonts w:asciiTheme="minorHAnsi" w:hAnsiTheme="minorHAnsi" w:cstheme="minorBidi"/>
                <w:szCs w:val="22"/>
                <w:highlight w:val="none"/>
              </w:rPr>
            </w:pPr>
            <w:r>
              <w:rPr>
                <w:rFonts w:ascii="宋体" w:hAnsi="宋体" w:eastAsia="宋体" w:cs="宋体"/>
                <w:color w:val="000000"/>
                <w:sz w:val="21"/>
                <w:szCs w:val="22"/>
                <w:highlight w:val="none"/>
              </w:rPr>
              <w:t>综合遮阳系数</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07ADCAAF">
            <w:pPr>
              <w:jc w:val="left"/>
              <w:rPr>
                <w:rFonts w:asciiTheme="minorHAnsi" w:hAnsiTheme="minorHAnsi" w:cstheme="minorBidi"/>
                <w:szCs w:val="22"/>
                <w:highlight w:val="none"/>
              </w:rPr>
            </w:pPr>
            <w:r>
              <w:rPr>
                <w:rFonts w:asciiTheme="minorHAnsi" w:hAnsiTheme="minorHAnsi" w:cstheme="minorBidi"/>
                <w:color w:val="000000"/>
                <w:sz w:val="21"/>
                <w:szCs w:val="22"/>
                <w:highlight w:val="none"/>
              </w:rPr>
              <w:t>0.545</w:t>
            </w:r>
          </w:p>
        </w:tc>
      </w:tr>
      <w:tr w14:paraId="469AC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144BBFA7">
            <w:pPr>
              <w:rPr>
                <w:rFonts w:asciiTheme="minorHAnsi" w:hAnsiTheme="minorHAnsi" w:cstheme="minorBidi"/>
                <w:szCs w:val="22"/>
                <w:highlight w:val="none"/>
              </w:rPr>
            </w:pPr>
          </w:p>
        </w:tc>
        <w:tc>
          <w:tcPr>
            <w:tcW w:w="1650" w:type="dxa"/>
            <w:vMerge w:val="continue"/>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379DAEA9">
            <w:pPr>
              <w:rPr>
                <w:rFonts w:asciiTheme="minorHAnsi" w:hAnsiTheme="minorHAnsi" w:cstheme="minorBidi"/>
                <w:szCs w:val="22"/>
                <w:highlight w:val="none"/>
              </w:rPr>
            </w:pPr>
          </w:p>
        </w:tc>
        <w:tc>
          <w:tcPr>
            <w:tcW w:w="384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3AF376A0">
            <w:pPr>
              <w:jc w:val="center"/>
              <w:rPr>
                <w:rFonts w:asciiTheme="minorHAnsi" w:hAnsiTheme="minorHAnsi" w:cstheme="minorBidi"/>
                <w:szCs w:val="22"/>
                <w:highlight w:val="none"/>
              </w:rPr>
            </w:pPr>
            <w:r>
              <w:rPr>
                <w:rFonts w:ascii="宋体" w:hAnsi="宋体" w:eastAsia="宋体" w:cs="宋体"/>
                <w:color w:val="000000"/>
                <w:sz w:val="21"/>
                <w:szCs w:val="22"/>
                <w:highlight w:val="none"/>
              </w:rPr>
              <w:t>节能性能标识</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04D8AD8">
            <w:pPr>
              <w:rPr>
                <w:rFonts w:asciiTheme="minorHAnsi" w:hAnsiTheme="minorHAnsi" w:cstheme="minorBidi"/>
                <w:szCs w:val="22"/>
                <w:highlight w:val="none"/>
              </w:rPr>
            </w:pPr>
            <w:r>
              <w:rPr>
                <w:rFonts w:ascii="宋体" w:hAnsi="宋体" w:eastAsia="宋体" w:cs="宋体"/>
                <w:color w:val="000000"/>
                <w:sz w:val="21"/>
                <w:szCs w:val="22"/>
                <w:highlight w:val="none"/>
              </w:rPr>
              <w:t>断热桥铝合金中空玻璃窗</w:t>
            </w:r>
          </w:p>
        </w:tc>
      </w:tr>
      <w:tr w14:paraId="73E90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4F47D25F">
            <w:pPr>
              <w:jc w:val="center"/>
              <w:rPr>
                <w:rFonts w:asciiTheme="minorHAnsi" w:hAnsiTheme="minorHAnsi" w:cstheme="minorBidi"/>
                <w:szCs w:val="22"/>
                <w:highlight w:val="none"/>
              </w:rPr>
            </w:pPr>
            <w:r>
              <w:rPr>
                <w:rFonts w:ascii="宋体" w:hAnsi="宋体" w:eastAsia="宋体" w:cs="宋体"/>
                <w:color w:val="000000"/>
                <w:sz w:val="21"/>
                <w:szCs w:val="22"/>
                <w:highlight w:val="none"/>
              </w:rPr>
              <w:t>供热系统</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66DFA6F9">
            <w:pPr>
              <w:jc w:val="center"/>
              <w:rPr>
                <w:rFonts w:asciiTheme="minorHAnsi" w:hAnsiTheme="minorHAnsi" w:cstheme="minorBidi"/>
                <w:szCs w:val="22"/>
                <w:highlight w:val="none"/>
              </w:rPr>
            </w:pPr>
            <w:r>
              <w:rPr>
                <w:rFonts w:ascii="宋体" w:hAnsi="宋体" w:eastAsia="宋体" w:cs="宋体"/>
                <w:color w:val="000000"/>
                <w:sz w:val="21"/>
                <w:szCs w:val="22"/>
                <w:highlight w:val="none"/>
              </w:rPr>
              <w:t>室内采暖形式</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4A5B26E">
            <w:pPr>
              <w:rPr>
                <w:rFonts w:asciiTheme="minorHAnsi" w:hAnsiTheme="minorHAnsi" w:cstheme="minorBidi"/>
                <w:szCs w:val="22"/>
                <w:highlight w:val="none"/>
              </w:rPr>
            </w:pPr>
            <w:r>
              <w:rPr>
                <w:rFonts w:ascii="宋体" w:hAnsi="宋体" w:eastAsia="宋体" w:cs="宋体"/>
                <w:color w:val="000000"/>
                <w:sz w:val="21"/>
                <w:szCs w:val="22"/>
                <w:highlight w:val="none"/>
              </w:rPr>
              <w:t>地面辐射供暖</w:t>
            </w:r>
          </w:p>
        </w:tc>
      </w:tr>
      <w:tr w14:paraId="7792F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6F4EA274">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F172C2F">
            <w:pPr>
              <w:jc w:val="center"/>
              <w:rPr>
                <w:rFonts w:asciiTheme="minorHAnsi" w:hAnsiTheme="minorHAnsi" w:cstheme="minorBidi"/>
                <w:szCs w:val="22"/>
                <w:highlight w:val="none"/>
              </w:rPr>
            </w:pPr>
            <w:r>
              <w:rPr>
                <w:rFonts w:ascii="宋体" w:hAnsi="宋体" w:eastAsia="宋体" w:cs="宋体"/>
                <w:color w:val="000000"/>
                <w:sz w:val="21"/>
                <w:szCs w:val="22"/>
                <w:highlight w:val="none"/>
              </w:rPr>
              <w:t>热计量方式</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8274D42">
            <w:pPr>
              <w:rPr>
                <w:rFonts w:asciiTheme="minorHAnsi" w:hAnsiTheme="minorHAnsi" w:cstheme="minorBidi"/>
                <w:szCs w:val="22"/>
                <w:highlight w:val="none"/>
              </w:rPr>
            </w:pPr>
            <w:r>
              <w:rPr>
                <w:rFonts w:ascii="宋体" w:hAnsi="宋体" w:eastAsia="宋体" w:cs="宋体"/>
                <w:color w:val="000000"/>
                <w:sz w:val="21"/>
                <w:szCs w:val="22"/>
                <w:highlight w:val="none"/>
              </w:rPr>
              <w:t>户用热计量表法</w:t>
            </w:r>
          </w:p>
        </w:tc>
      </w:tr>
      <w:tr w14:paraId="0B618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25B13921">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7A9A0C67">
            <w:pPr>
              <w:jc w:val="center"/>
              <w:rPr>
                <w:rFonts w:asciiTheme="minorHAnsi" w:hAnsiTheme="minorHAnsi" w:cstheme="minorBidi"/>
                <w:szCs w:val="22"/>
                <w:highlight w:val="none"/>
              </w:rPr>
            </w:pPr>
            <w:r>
              <w:rPr>
                <w:rFonts w:ascii="宋体" w:hAnsi="宋体" w:eastAsia="宋体" w:cs="宋体"/>
                <w:color w:val="000000"/>
                <w:sz w:val="21"/>
                <w:szCs w:val="22"/>
                <w:highlight w:val="none"/>
              </w:rPr>
              <w:t>系统调节装置</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38FFCD84">
            <w:pPr>
              <w:rPr>
                <w:rFonts w:asciiTheme="minorHAnsi" w:hAnsiTheme="minorHAnsi" w:cstheme="minorBidi"/>
                <w:szCs w:val="22"/>
                <w:highlight w:val="none"/>
              </w:rPr>
            </w:pPr>
            <w:r>
              <w:rPr>
                <w:rFonts w:ascii="宋体" w:hAnsi="宋体" w:eastAsia="宋体" w:cs="宋体"/>
                <w:color w:val="000000"/>
                <w:sz w:val="21"/>
                <w:szCs w:val="22"/>
                <w:highlight w:val="none"/>
              </w:rPr>
              <w:t>静态水力平衡阀</w:t>
            </w:r>
          </w:p>
        </w:tc>
      </w:tr>
      <w:tr w14:paraId="5ECA1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14420823">
            <w:pPr>
              <w:jc w:val="center"/>
              <w:rPr>
                <w:rFonts w:asciiTheme="minorHAnsi" w:hAnsiTheme="minorHAnsi" w:cstheme="minorBidi"/>
                <w:szCs w:val="22"/>
                <w:highlight w:val="none"/>
              </w:rPr>
            </w:pPr>
            <w:r>
              <w:rPr>
                <w:rFonts w:ascii="宋体" w:hAnsi="宋体" w:eastAsia="宋体" w:cs="宋体"/>
                <w:color w:val="000000"/>
                <w:sz w:val="21"/>
                <w:szCs w:val="22"/>
                <w:highlight w:val="none"/>
              </w:rPr>
              <w:t>空调系统</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026E7B5F">
            <w:pPr>
              <w:jc w:val="center"/>
              <w:rPr>
                <w:rFonts w:asciiTheme="minorHAnsi" w:hAnsiTheme="minorHAnsi" w:cstheme="minorBidi"/>
                <w:szCs w:val="22"/>
                <w:highlight w:val="none"/>
              </w:rPr>
            </w:pPr>
            <w:r>
              <w:rPr>
                <w:rFonts w:ascii="宋体" w:hAnsi="宋体" w:eastAsia="宋体" w:cs="宋体"/>
                <w:color w:val="000000"/>
                <w:sz w:val="21"/>
                <w:szCs w:val="22"/>
                <w:highlight w:val="none"/>
              </w:rPr>
              <w:t>冷源机组类型</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07CF256">
            <w:pPr>
              <w:rPr>
                <w:rFonts w:asciiTheme="minorHAnsi" w:hAnsiTheme="minorHAnsi" w:cstheme="minorBidi"/>
                <w:szCs w:val="22"/>
                <w:highlight w:val="none"/>
              </w:rPr>
            </w:pPr>
            <w:r>
              <w:rPr>
                <w:rFonts w:ascii="宋体" w:hAnsi="宋体" w:eastAsia="宋体" w:cs="宋体"/>
                <w:color w:val="000000"/>
                <w:sz w:val="21"/>
                <w:szCs w:val="22"/>
                <w:highlight w:val="none"/>
              </w:rPr>
              <w:t>多联机</w:t>
            </w:r>
          </w:p>
        </w:tc>
      </w:tr>
      <w:tr w14:paraId="0CA7D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377B2A1A">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3CE57F87">
            <w:pPr>
              <w:jc w:val="center"/>
              <w:rPr>
                <w:rFonts w:asciiTheme="minorHAnsi" w:hAnsiTheme="minorHAnsi" w:cstheme="minorBidi"/>
                <w:szCs w:val="22"/>
                <w:highlight w:val="none"/>
              </w:rPr>
            </w:pPr>
            <w:r>
              <w:rPr>
                <w:rFonts w:ascii="宋体" w:hAnsi="宋体" w:eastAsia="宋体" w:cs="宋体"/>
                <w:color w:val="000000"/>
                <w:sz w:val="21"/>
                <w:szCs w:val="22"/>
                <w:highlight w:val="none"/>
              </w:rPr>
              <w:t>能效比</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791CEC59">
            <w:pPr>
              <w:rPr>
                <w:rFonts w:asciiTheme="minorHAnsi" w:hAnsiTheme="minorHAnsi" w:cstheme="minorBidi"/>
                <w:szCs w:val="22"/>
                <w:highlight w:val="none"/>
              </w:rPr>
            </w:pPr>
            <w:r>
              <w:rPr>
                <w:rFonts w:asciiTheme="minorHAnsi" w:hAnsiTheme="minorHAnsi" w:cstheme="minorBidi"/>
                <w:color w:val="000000"/>
                <w:sz w:val="21"/>
                <w:szCs w:val="22"/>
                <w:highlight w:val="none"/>
              </w:rPr>
              <w:t>APF</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4.3</w:t>
            </w:r>
          </w:p>
        </w:tc>
      </w:tr>
      <w:tr w14:paraId="39EB2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2E551BC7">
            <w:pPr>
              <w:jc w:val="center"/>
              <w:rPr>
                <w:rFonts w:asciiTheme="minorHAnsi" w:hAnsiTheme="minorHAnsi" w:cstheme="minorBidi"/>
                <w:szCs w:val="22"/>
                <w:highlight w:val="none"/>
              </w:rPr>
            </w:pPr>
            <w:r>
              <w:rPr>
                <w:rFonts w:ascii="宋体" w:hAnsi="宋体" w:eastAsia="宋体" w:cs="宋体"/>
                <w:color w:val="000000"/>
                <w:sz w:val="21"/>
                <w:szCs w:val="22"/>
                <w:highlight w:val="none"/>
              </w:rPr>
              <w:t>热水利用</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41DE8F1B">
            <w:pPr>
              <w:jc w:val="center"/>
              <w:rPr>
                <w:rFonts w:asciiTheme="minorHAnsi" w:hAnsiTheme="minorHAnsi" w:cstheme="minorBidi"/>
                <w:szCs w:val="22"/>
                <w:highlight w:val="none"/>
              </w:rPr>
            </w:pPr>
            <w:r>
              <w:rPr>
                <w:rFonts w:ascii="宋体" w:hAnsi="宋体" w:eastAsia="宋体" w:cs="宋体"/>
                <w:color w:val="000000"/>
                <w:sz w:val="21"/>
                <w:szCs w:val="22"/>
                <w:highlight w:val="none"/>
              </w:rPr>
              <w:t>供应方式</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8C0987D">
            <w:pPr>
              <w:jc w:val="center"/>
              <w:rPr>
                <w:rFonts w:asciiTheme="minorHAnsi" w:hAnsiTheme="minorHAnsi" w:cstheme="minorBidi"/>
                <w:szCs w:val="22"/>
                <w:highlight w:val="none"/>
              </w:rPr>
            </w:pPr>
            <w:r>
              <w:rPr>
                <w:rFonts w:ascii="宋体" w:hAnsi="宋体" w:eastAsia="宋体" w:cs="宋体"/>
                <w:color w:val="000000"/>
                <w:sz w:val="21"/>
                <w:szCs w:val="22"/>
                <w:highlight w:val="none"/>
              </w:rPr>
              <w:t>分散供应</w:t>
            </w:r>
          </w:p>
        </w:tc>
      </w:tr>
      <w:tr w14:paraId="2B33D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3412C418">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940CF13">
            <w:pPr>
              <w:jc w:val="center"/>
              <w:rPr>
                <w:rFonts w:asciiTheme="minorHAnsi" w:hAnsiTheme="minorHAnsi" w:cstheme="minorBidi"/>
                <w:szCs w:val="22"/>
                <w:highlight w:val="none"/>
              </w:rPr>
            </w:pPr>
            <w:r>
              <w:rPr>
                <w:rFonts w:ascii="宋体" w:hAnsi="宋体" w:eastAsia="宋体" w:cs="宋体"/>
                <w:color w:val="000000"/>
                <w:sz w:val="21"/>
                <w:szCs w:val="22"/>
                <w:highlight w:val="none"/>
              </w:rPr>
              <w:t>用能类型</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7B548B67">
            <w:pPr>
              <w:rPr>
                <w:rFonts w:asciiTheme="minorHAnsi" w:hAnsiTheme="minorHAnsi" w:cstheme="minorBidi"/>
                <w:szCs w:val="22"/>
                <w:highlight w:val="none"/>
              </w:rPr>
            </w:pPr>
            <w:r>
              <w:rPr>
                <w:rFonts w:ascii="宋体" w:hAnsi="宋体" w:eastAsia="宋体" w:cs="宋体"/>
                <w:color w:val="000000"/>
                <w:sz w:val="21"/>
                <w:szCs w:val="22"/>
                <w:highlight w:val="none"/>
              </w:rPr>
              <w:t>燃气、太阳能</w:t>
            </w:r>
          </w:p>
        </w:tc>
      </w:tr>
      <w:tr w14:paraId="7BFC1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07FF108D">
            <w:pPr>
              <w:jc w:val="center"/>
              <w:rPr>
                <w:rFonts w:asciiTheme="minorHAnsi" w:hAnsiTheme="minorHAnsi" w:cstheme="minorBidi"/>
                <w:szCs w:val="22"/>
                <w:highlight w:val="none"/>
              </w:rPr>
            </w:pPr>
            <w:r>
              <w:rPr>
                <w:rFonts w:ascii="宋体" w:hAnsi="宋体" w:eastAsia="宋体" w:cs="宋体"/>
                <w:color w:val="000000"/>
                <w:sz w:val="21"/>
                <w:szCs w:val="22"/>
                <w:highlight w:val="none"/>
              </w:rPr>
              <w:t>照明</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091CB0BD">
            <w:pPr>
              <w:jc w:val="center"/>
              <w:rPr>
                <w:rFonts w:asciiTheme="minorHAnsi" w:hAnsiTheme="minorHAnsi" w:cstheme="minorBidi"/>
                <w:szCs w:val="22"/>
                <w:highlight w:val="none"/>
              </w:rPr>
            </w:pPr>
            <w:r>
              <w:rPr>
                <w:rFonts w:ascii="宋体" w:hAnsi="宋体" w:eastAsia="宋体" w:cs="宋体"/>
                <w:color w:val="000000"/>
                <w:sz w:val="21"/>
                <w:szCs w:val="22"/>
                <w:highlight w:val="none"/>
              </w:rPr>
              <w:t>照度</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tcPr>
          <w:p w14:paraId="5E5023A5">
            <w:pPr>
              <w:rPr>
                <w:rFonts w:asciiTheme="minorHAnsi" w:hAnsiTheme="minorHAnsi" w:cstheme="minorBidi"/>
                <w:szCs w:val="22"/>
                <w:highlight w:val="none"/>
              </w:rPr>
            </w:pPr>
            <w:r>
              <w:rPr>
                <w:rFonts w:ascii="宋体" w:hAnsi="宋体" w:eastAsia="宋体" w:cs="宋体"/>
                <w:color w:val="000000"/>
                <w:sz w:val="21"/>
                <w:szCs w:val="22"/>
                <w:highlight w:val="none"/>
              </w:rPr>
              <w:t>起居室、厨房、卫生间</w:t>
            </w:r>
            <w:r>
              <w:rPr>
                <w:rFonts w:asciiTheme="minorHAnsi" w:hAnsiTheme="minorHAnsi" w:cstheme="minorBidi"/>
                <w:color w:val="000000"/>
                <w:sz w:val="21"/>
                <w:szCs w:val="22"/>
                <w:highlight w:val="none"/>
              </w:rPr>
              <w:t>100Lx,</w:t>
            </w:r>
            <w:r>
              <w:rPr>
                <w:rFonts w:ascii="宋体" w:hAnsi="宋体" w:eastAsia="宋体" w:cs="宋体"/>
                <w:color w:val="000000"/>
                <w:sz w:val="21"/>
                <w:szCs w:val="22"/>
                <w:highlight w:val="none"/>
              </w:rPr>
              <w:t>卧室</w:t>
            </w:r>
            <w:r>
              <w:rPr>
                <w:rFonts w:asciiTheme="minorHAnsi" w:hAnsiTheme="minorHAnsi" w:cstheme="minorBidi"/>
                <w:color w:val="000000"/>
                <w:sz w:val="21"/>
                <w:szCs w:val="22"/>
                <w:highlight w:val="none"/>
              </w:rPr>
              <w:t>75Lx,</w:t>
            </w:r>
            <w:r>
              <w:rPr>
                <w:rFonts w:ascii="宋体" w:hAnsi="宋体" w:eastAsia="宋体" w:cs="宋体"/>
                <w:color w:val="000000"/>
                <w:sz w:val="21"/>
                <w:szCs w:val="22"/>
                <w:highlight w:val="none"/>
              </w:rPr>
              <w:t>餐厅</w:t>
            </w:r>
            <w:r>
              <w:rPr>
                <w:rFonts w:asciiTheme="minorHAnsi" w:hAnsiTheme="minorHAnsi" w:cstheme="minorBidi"/>
                <w:color w:val="000000"/>
                <w:sz w:val="21"/>
                <w:szCs w:val="22"/>
                <w:highlight w:val="none"/>
              </w:rPr>
              <w:t>150Lx,</w:t>
            </w:r>
            <w:r>
              <w:rPr>
                <w:rFonts w:ascii="宋体" w:hAnsi="宋体" w:eastAsia="宋体" w:cs="宋体"/>
                <w:color w:val="000000"/>
                <w:sz w:val="21"/>
                <w:szCs w:val="22"/>
                <w:highlight w:val="none"/>
              </w:rPr>
              <w:t>走廊、楼梯间</w:t>
            </w:r>
            <w:r>
              <w:rPr>
                <w:rFonts w:asciiTheme="minorHAnsi" w:hAnsiTheme="minorHAnsi" w:cstheme="minorBidi"/>
                <w:color w:val="000000"/>
                <w:sz w:val="21"/>
                <w:szCs w:val="22"/>
                <w:highlight w:val="none"/>
              </w:rPr>
              <w:t>100Lx</w:t>
            </w:r>
          </w:p>
        </w:tc>
      </w:tr>
      <w:tr w14:paraId="5F1BC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09BC543D">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9A5BC38">
            <w:pPr>
              <w:jc w:val="center"/>
              <w:rPr>
                <w:rFonts w:asciiTheme="minorHAnsi" w:hAnsiTheme="minorHAnsi" w:cstheme="minorBidi"/>
                <w:szCs w:val="22"/>
                <w:highlight w:val="none"/>
              </w:rPr>
            </w:pPr>
            <w:r>
              <w:rPr>
                <w:rFonts w:ascii="宋体" w:hAnsi="宋体" w:eastAsia="宋体" w:cs="宋体"/>
                <w:color w:val="000000"/>
                <w:sz w:val="21"/>
                <w:szCs w:val="22"/>
                <w:highlight w:val="none"/>
              </w:rPr>
              <w:t>功率密度</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tcPr>
          <w:p w14:paraId="7B1427DA">
            <w:pPr>
              <w:rPr>
                <w:rFonts w:asciiTheme="minorHAnsi" w:hAnsiTheme="minorHAnsi" w:cstheme="minorBidi"/>
                <w:szCs w:val="22"/>
                <w:highlight w:val="none"/>
              </w:rPr>
            </w:pP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4.0W/</w:t>
            </w:r>
            <w:r>
              <w:rPr>
                <w:rFonts w:ascii="宋体" w:hAnsi="宋体" w:eastAsia="宋体" w:cs="宋体"/>
                <w:color w:val="000000"/>
                <w:sz w:val="21"/>
                <w:szCs w:val="22"/>
                <w:highlight w:val="none"/>
              </w:rPr>
              <w:t>㎡</w:t>
            </w:r>
          </w:p>
        </w:tc>
      </w:tr>
      <w:tr w14:paraId="41E20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670673A3">
            <w:pPr>
              <w:jc w:val="center"/>
              <w:rPr>
                <w:rFonts w:asciiTheme="minorHAnsi" w:hAnsiTheme="minorHAnsi" w:cstheme="minorBidi"/>
                <w:szCs w:val="22"/>
                <w:highlight w:val="none"/>
              </w:rPr>
            </w:pPr>
            <w:r>
              <w:rPr>
                <w:rFonts w:ascii="宋体" w:hAnsi="宋体" w:eastAsia="宋体" w:cs="宋体"/>
                <w:color w:val="000000"/>
                <w:sz w:val="21"/>
                <w:szCs w:val="22"/>
                <w:highlight w:val="none"/>
              </w:rPr>
              <w:t>可再生能源利用</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7325DBE5">
            <w:pPr>
              <w:jc w:val="center"/>
              <w:rPr>
                <w:rFonts w:asciiTheme="minorHAnsi" w:hAnsiTheme="minorHAnsi" w:cstheme="minorBidi"/>
                <w:szCs w:val="22"/>
                <w:highlight w:val="none"/>
              </w:rPr>
            </w:pPr>
            <w:r>
              <w:rPr>
                <w:rFonts w:ascii="宋体" w:hAnsi="宋体" w:eastAsia="宋体" w:cs="宋体"/>
                <w:color w:val="000000"/>
                <w:sz w:val="21"/>
                <w:szCs w:val="22"/>
                <w:highlight w:val="none"/>
              </w:rPr>
              <w:t>利用形式</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472B7AB8">
            <w:pPr>
              <w:rPr>
                <w:rFonts w:asciiTheme="minorHAnsi" w:hAnsiTheme="minorHAnsi" w:cstheme="minorBidi"/>
                <w:szCs w:val="22"/>
                <w:highlight w:val="none"/>
              </w:rPr>
            </w:pPr>
            <w:r>
              <w:rPr>
                <w:rFonts w:ascii="宋体" w:hAnsi="宋体" w:eastAsia="宋体" w:cs="宋体"/>
                <w:color w:val="000000"/>
                <w:sz w:val="21"/>
                <w:szCs w:val="22"/>
                <w:highlight w:val="none"/>
              </w:rPr>
              <w:t>太阳能光热</w:t>
            </w:r>
          </w:p>
        </w:tc>
      </w:tr>
      <w:tr w14:paraId="36E9D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3BCF57E4">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449586E">
            <w:pPr>
              <w:jc w:val="center"/>
              <w:rPr>
                <w:rFonts w:asciiTheme="minorHAnsi" w:hAnsiTheme="minorHAnsi" w:cstheme="minorBidi"/>
                <w:szCs w:val="22"/>
                <w:highlight w:val="none"/>
              </w:rPr>
            </w:pPr>
            <w:r>
              <w:rPr>
                <w:rFonts w:ascii="宋体" w:hAnsi="宋体" w:eastAsia="宋体" w:cs="宋体"/>
                <w:color w:val="000000"/>
                <w:sz w:val="21"/>
                <w:szCs w:val="22"/>
                <w:highlight w:val="none"/>
              </w:rPr>
              <w:t>保证率</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002E2AB">
            <w:pPr>
              <w:jc w:val="center"/>
              <w:rPr>
                <w:rFonts w:asciiTheme="minorHAnsi" w:hAnsiTheme="minorHAnsi" w:cstheme="minorBidi"/>
                <w:szCs w:val="22"/>
                <w:highlight w:val="none"/>
              </w:rPr>
            </w:pPr>
            <w:r>
              <w:rPr>
                <w:rFonts w:asciiTheme="minorHAnsi" w:hAnsiTheme="minorHAnsi" w:cstheme="minorBidi"/>
                <w:color w:val="000000"/>
                <w:sz w:val="21"/>
                <w:szCs w:val="22"/>
                <w:highlight w:val="none"/>
              </w:rPr>
              <w:t>45%</w:t>
            </w:r>
          </w:p>
        </w:tc>
      </w:tr>
      <w:tr w14:paraId="4A4AD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64F0D01F">
            <w:pPr>
              <w:jc w:val="center"/>
              <w:rPr>
                <w:rFonts w:asciiTheme="minorHAnsi" w:hAnsiTheme="minorHAnsi" w:cstheme="minorBidi"/>
                <w:szCs w:val="22"/>
                <w:highlight w:val="none"/>
              </w:rPr>
            </w:pPr>
            <w:r>
              <w:rPr>
                <w:rFonts w:ascii="宋体" w:hAnsi="宋体" w:eastAsia="宋体" w:cs="宋体"/>
                <w:color w:val="000000"/>
                <w:sz w:val="21"/>
                <w:szCs w:val="22"/>
                <w:highlight w:val="none"/>
              </w:rPr>
              <w:t>建筑能源利用效率</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3D9AD30">
            <w:pPr>
              <w:jc w:val="center"/>
              <w:rPr>
                <w:rFonts w:asciiTheme="minorHAnsi" w:hAnsiTheme="minorHAnsi" w:cstheme="minorBidi"/>
                <w:szCs w:val="22"/>
                <w:highlight w:val="none"/>
              </w:rPr>
            </w:pPr>
            <w:r>
              <w:rPr>
                <w:rFonts w:ascii="宋体" w:hAnsi="宋体" w:eastAsia="宋体" w:cs="宋体"/>
                <w:color w:val="000000"/>
                <w:sz w:val="21"/>
                <w:szCs w:val="22"/>
                <w:highlight w:val="none"/>
              </w:rPr>
              <w:t>本建筑的节能率与建筑节能标准比较情况</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2F367B6">
            <w:pPr>
              <w:rPr>
                <w:rFonts w:asciiTheme="minorHAnsi" w:hAnsiTheme="minorHAnsi" w:cstheme="minorBidi"/>
                <w:szCs w:val="22"/>
                <w:highlight w:val="none"/>
              </w:rPr>
            </w:pPr>
            <w:r>
              <w:rPr>
                <w:rFonts w:ascii="宋体" w:hAnsi="宋体" w:eastAsia="宋体" w:cs="宋体"/>
                <w:color w:val="000000"/>
                <w:sz w:val="21"/>
                <w:szCs w:val="22"/>
                <w:highlight w:val="none"/>
              </w:rPr>
              <w:t>满足标准规定</w:t>
            </w:r>
          </w:p>
        </w:tc>
      </w:tr>
    </w:tbl>
    <w:p w14:paraId="3B8837CF">
      <w:pPr>
        <w:rPr>
          <w:highlight w:val="none"/>
        </w:rPr>
      </w:pPr>
      <w:r>
        <w:rPr>
          <w:rFonts w:ascii="宋体" w:hAnsi="宋体" w:eastAsia="宋体" w:cs="宋体"/>
          <w:color w:val="000000"/>
          <w:sz w:val="21"/>
          <w:highlight w:val="none"/>
        </w:rPr>
        <w:t>填表内容说明：</w:t>
      </w:r>
    </w:p>
    <w:p w14:paraId="6B1ED903">
      <w:pPr>
        <w:ind w:firstLine="420" w:firstLineChars="200"/>
        <w:rPr>
          <w:highlight w:val="none"/>
        </w:rPr>
      </w:pPr>
      <w:r>
        <w:rPr>
          <w:rFonts w:ascii="宋体" w:hAnsi="宋体" w:eastAsia="宋体" w:cs="宋体"/>
          <w:color w:val="000000"/>
          <w:sz w:val="21"/>
          <w:highlight w:val="none"/>
        </w:rPr>
        <w:t>一、本表所填内容应与建筑节能报审表、经审查合格的节能设计文件一致；</w:t>
      </w:r>
    </w:p>
    <w:p w14:paraId="26D5E346">
      <w:pPr>
        <w:ind w:firstLine="420" w:firstLineChars="200"/>
        <w:rPr>
          <w:highlight w:val="none"/>
        </w:rPr>
      </w:pPr>
      <w:r>
        <w:rPr>
          <w:rFonts w:ascii="宋体" w:hAnsi="宋体" w:eastAsia="宋体" w:cs="宋体"/>
          <w:color w:val="000000"/>
          <w:sz w:val="21"/>
          <w:highlight w:val="none"/>
        </w:rPr>
        <w:t>二、门窗类型包括：断热桥铝合金中空玻璃窗、断热桥铝合金</w:t>
      </w:r>
      <w:r>
        <w:rPr>
          <w:color w:val="000000"/>
          <w:sz w:val="21"/>
          <w:highlight w:val="none"/>
        </w:rPr>
        <w:t>LOW-E</w:t>
      </w:r>
      <w:r>
        <w:rPr>
          <w:rFonts w:ascii="宋体" w:hAnsi="宋体" w:eastAsia="宋体" w:cs="宋体"/>
          <w:color w:val="000000"/>
          <w:sz w:val="21"/>
          <w:highlight w:val="none"/>
        </w:rPr>
        <w:t>中空玻璃窗、塑钢中空玻璃窗、塑钢</w:t>
      </w:r>
      <w:r>
        <w:rPr>
          <w:color w:val="000000"/>
          <w:sz w:val="21"/>
          <w:highlight w:val="none"/>
        </w:rPr>
        <w:t>LOW-E</w:t>
      </w:r>
      <w:r>
        <w:rPr>
          <w:rFonts w:ascii="宋体" w:hAnsi="宋体" w:eastAsia="宋体" w:cs="宋体"/>
          <w:color w:val="000000"/>
          <w:sz w:val="21"/>
          <w:highlight w:val="none"/>
        </w:rPr>
        <w:t>中空玻璃窗、塑钢单层玻璃窗、其他。</w:t>
      </w:r>
    </w:p>
    <w:p w14:paraId="6BC2461A">
      <w:pPr>
        <w:ind w:firstLine="420" w:firstLineChars="200"/>
        <w:rPr>
          <w:highlight w:val="none"/>
        </w:rPr>
      </w:pPr>
      <w:r>
        <w:rPr>
          <w:rFonts w:ascii="宋体" w:hAnsi="宋体" w:eastAsia="宋体" w:cs="宋体"/>
          <w:color w:val="000000"/>
          <w:sz w:val="21"/>
          <w:highlight w:val="none"/>
        </w:rPr>
        <w:t>三、室内采暖形式包括：散热器供暖、地面辐射供暖、其他。</w:t>
      </w:r>
    </w:p>
    <w:p w14:paraId="734E9299">
      <w:pPr>
        <w:ind w:firstLine="420" w:firstLineChars="200"/>
        <w:rPr>
          <w:highlight w:val="none"/>
        </w:rPr>
      </w:pPr>
      <w:r>
        <w:rPr>
          <w:rFonts w:ascii="宋体" w:hAnsi="宋体" w:eastAsia="宋体" w:cs="宋体"/>
          <w:color w:val="000000"/>
          <w:sz w:val="21"/>
          <w:highlight w:val="none"/>
        </w:rPr>
        <w:t>四、热计量方式包括：户用热计量表法、热分配计法、温度法、楼栋热量表法、其他。</w:t>
      </w:r>
    </w:p>
    <w:p w14:paraId="0986CBCA">
      <w:pPr>
        <w:ind w:firstLine="420" w:firstLineChars="200"/>
        <w:rPr>
          <w:highlight w:val="none"/>
        </w:rPr>
      </w:pPr>
      <w:r>
        <w:rPr>
          <w:rFonts w:ascii="宋体" w:hAnsi="宋体" w:eastAsia="宋体" w:cs="宋体"/>
          <w:color w:val="000000"/>
          <w:sz w:val="21"/>
          <w:highlight w:val="none"/>
        </w:rPr>
        <w:t>五、系统调节装置包括：静态水力平衡阀、自力式压差控制阀、散热器恒温阀、其他。</w:t>
      </w:r>
    </w:p>
    <w:p w14:paraId="1BD9778B">
      <w:pPr>
        <w:ind w:firstLine="420" w:firstLineChars="200"/>
        <w:rPr>
          <w:highlight w:val="none"/>
        </w:rPr>
      </w:pPr>
      <w:r>
        <w:rPr>
          <w:rFonts w:ascii="宋体" w:hAnsi="宋体" w:eastAsia="宋体" w:cs="宋体"/>
          <w:color w:val="000000"/>
          <w:sz w:val="21"/>
          <w:highlight w:val="none"/>
        </w:rPr>
        <w:t>六、空调冷热源类型包括：压缩式冷水（热泵）机组、吸收式冷水机组、分体式房间空调器、多联机、区域集中供冷、独立冷热源集中供冷、其他。</w:t>
      </w:r>
    </w:p>
    <w:p w14:paraId="54280655">
      <w:pPr>
        <w:ind w:firstLine="420" w:firstLineChars="200"/>
        <w:rPr>
          <w:highlight w:val="none"/>
        </w:rPr>
      </w:pPr>
      <w:r>
        <w:rPr>
          <w:rFonts w:ascii="宋体" w:hAnsi="宋体" w:eastAsia="宋体" w:cs="宋体"/>
          <w:color w:val="000000"/>
          <w:sz w:val="21"/>
          <w:highlight w:val="none"/>
        </w:rPr>
        <w:t>七、热水供应方式包括：集中式、分散式。</w:t>
      </w:r>
    </w:p>
    <w:p w14:paraId="13FD8C2D">
      <w:pPr>
        <w:ind w:firstLine="420" w:firstLineChars="200"/>
        <w:rPr>
          <w:highlight w:val="none"/>
        </w:rPr>
      </w:pPr>
      <w:r>
        <w:rPr>
          <w:rFonts w:ascii="宋体" w:hAnsi="宋体" w:eastAsia="宋体" w:cs="宋体"/>
          <w:color w:val="000000"/>
          <w:sz w:val="21"/>
          <w:highlight w:val="none"/>
        </w:rPr>
        <w:t>八、热水利用用能类型包括：电、燃气、太阳能、蒸汽、其他。</w:t>
      </w:r>
    </w:p>
    <w:p w14:paraId="3899FD96">
      <w:pPr>
        <w:ind w:firstLine="420"/>
        <w:rPr>
          <w:highlight w:val="none"/>
        </w:rPr>
      </w:pPr>
      <w:r>
        <w:rPr>
          <w:rFonts w:ascii="宋体" w:hAnsi="宋体" w:eastAsia="宋体" w:cs="宋体"/>
          <w:color w:val="000000"/>
          <w:sz w:val="21"/>
          <w:highlight w:val="none"/>
        </w:rPr>
        <w:t>九、本建筑的节能率与建筑节能标准比较情况包括：优于标准规定、满足标准规定、不符合标准规定。</w:t>
      </w:r>
    </w:p>
    <w:p w14:paraId="5698B57A">
      <w:pPr>
        <w:tabs>
          <w:tab w:val="left" w:pos="644"/>
        </w:tabs>
        <w:snapToGrid w:val="0"/>
        <w:spacing w:before="156" w:beforeLines="50" w:after="156" w:afterLines="50"/>
        <w:jc w:val="center"/>
        <w:rPr>
          <w:rFonts w:ascii="黑体" w:hAnsi="宋体" w:eastAsia="黑体"/>
          <w:color w:val="000000" w:themeColor="text1"/>
          <w:szCs w:val="32"/>
          <w:highlight w:val="none"/>
          <w14:textFill>
            <w14:solidFill>
              <w14:schemeClr w14:val="tx1"/>
            </w14:solidFill>
          </w14:textFill>
        </w:rPr>
      </w:pPr>
    </w:p>
    <w:p w14:paraId="6A68EED0">
      <w:pPr>
        <w:widowControl/>
        <w:jc w:val="left"/>
        <w:rPr>
          <w:rFonts w:ascii="黑体" w:hAnsi="宋体" w:eastAsia="黑体"/>
          <w:color w:val="000000" w:themeColor="text1"/>
          <w:szCs w:val="32"/>
          <w:highlight w:val="none"/>
          <w14:textFill>
            <w14:solidFill>
              <w14:schemeClr w14:val="tx1"/>
            </w14:solidFill>
          </w14:textFill>
        </w:rPr>
      </w:pPr>
      <w:r>
        <w:rPr>
          <w:rFonts w:ascii="黑体" w:hAnsi="宋体" w:eastAsia="黑体"/>
          <w:color w:val="000000" w:themeColor="text1"/>
          <w:szCs w:val="32"/>
          <w:highlight w:val="none"/>
          <w14:textFill>
            <w14:solidFill>
              <w14:schemeClr w14:val="tx1"/>
            </w14:solidFill>
          </w14:textFill>
        </w:rPr>
        <w:br w:type="page"/>
      </w:r>
    </w:p>
    <w:p w14:paraId="567C43FF">
      <w:pPr>
        <w:rPr>
          <w:highlight w:val="none"/>
        </w:rPr>
      </w:pPr>
      <w:r>
        <w:rPr>
          <w:rFonts w:hint="eastAsia" w:ascii="黑体" w:hAnsi="宋体" w:eastAsia="黑体" w:cs="黑体"/>
          <w:color w:val="000000" w:themeColor="text1"/>
          <w:szCs w:val="32"/>
          <w:highlight w:val="none"/>
          <w14:textFill>
            <w14:solidFill>
              <w14:schemeClr w14:val="tx1"/>
            </w14:solidFill>
          </w14:textFill>
        </w:rPr>
        <w:t xml:space="preserve">                  </w:t>
      </w:r>
      <w:r>
        <w:rPr>
          <w:rFonts w:ascii="黑体" w:hAnsi="黑体" w:eastAsia="黑体" w:cs="黑体"/>
          <w:color w:val="000000"/>
          <w:highlight w:val="none"/>
        </w:rPr>
        <w:t>民用建筑节能信息销售现场公示表</w:t>
      </w:r>
    </w:p>
    <w:tbl>
      <w:tblPr>
        <w:tblStyle w:val="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5"/>
        <w:gridCol w:w="1650"/>
        <w:gridCol w:w="3840"/>
        <w:gridCol w:w="3180"/>
      </w:tblGrid>
      <w:tr w14:paraId="7AAC7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6AF4BE68">
            <w:pPr>
              <w:jc w:val="center"/>
              <w:rPr>
                <w:rFonts w:asciiTheme="minorHAnsi" w:hAnsiTheme="minorHAnsi" w:cstheme="minorBidi"/>
                <w:szCs w:val="22"/>
                <w:highlight w:val="none"/>
              </w:rPr>
            </w:pPr>
            <w:r>
              <w:rPr>
                <w:rFonts w:ascii="宋体" w:hAnsi="宋体" w:eastAsia="宋体" w:cs="宋体"/>
                <w:color w:val="000000"/>
                <w:sz w:val="21"/>
                <w:szCs w:val="22"/>
                <w:highlight w:val="none"/>
              </w:rPr>
              <w:t>建设单位</w:t>
            </w:r>
          </w:p>
        </w:tc>
        <w:tc>
          <w:tcPr>
            <w:tcW w:w="8670" w:type="dxa"/>
            <w:gridSpan w:val="3"/>
            <w:tcBorders>
              <w:top w:val="single" w:color="000000" w:sz="8"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01926357">
            <w:pPr>
              <w:jc w:val="center"/>
              <w:rPr>
                <w:rFonts w:asciiTheme="minorHAnsi" w:hAnsiTheme="minorHAnsi" w:cstheme="minorBidi"/>
                <w:szCs w:val="22"/>
                <w:highlight w:val="none"/>
              </w:rPr>
            </w:pPr>
            <w:r>
              <w:rPr>
                <w:rFonts w:ascii="宋体" w:hAnsi="宋体" w:eastAsia="宋体" w:cs="宋体"/>
                <w:color w:val="000000"/>
                <w:sz w:val="21"/>
                <w:szCs w:val="22"/>
                <w:highlight w:val="none"/>
              </w:rPr>
              <w:t>无锡山水嘉泰置业有限公司</w:t>
            </w:r>
          </w:p>
        </w:tc>
      </w:tr>
      <w:tr w14:paraId="10AD8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3BF00B14">
            <w:pPr>
              <w:jc w:val="center"/>
              <w:rPr>
                <w:rFonts w:asciiTheme="minorHAnsi" w:hAnsiTheme="minorHAnsi" w:cstheme="minorBidi"/>
                <w:szCs w:val="22"/>
                <w:highlight w:val="none"/>
              </w:rPr>
            </w:pPr>
            <w:r>
              <w:rPr>
                <w:rFonts w:ascii="宋体" w:hAnsi="宋体" w:eastAsia="宋体" w:cs="宋体"/>
                <w:color w:val="000000"/>
                <w:sz w:val="21"/>
                <w:szCs w:val="22"/>
                <w:highlight w:val="none"/>
              </w:rPr>
              <w:t>项目名称</w:t>
            </w:r>
          </w:p>
        </w:tc>
        <w:tc>
          <w:tcPr>
            <w:tcW w:w="8670" w:type="dxa"/>
            <w:gridSpan w:val="3"/>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8163367">
            <w:pPr>
              <w:jc w:val="center"/>
              <w:rPr>
                <w:rFonts w:asciiTheme="minorHAnsi" w:hAnsiTheme="minorHAnsi" w:cstheme="minorBidi"/>
                <w:szCs w:val="22"/>
                <w:highlight w:val="none"/>
              </w:rPr>
            </w:pPr>
            <w:r>
              <w:rPr>
                <w:rFonts w:asciiTheme="minorHAnsi" w:hAnsiTheme="minorHAnsi" w:cstheme="minorBidi"/>
                <w:color w:val="000000"/>
                <w:sz w:val="21"/>
                <w:szCs w:val="22"/>
                <w:highlight w:val="none"/>
              </w:rPr>
              <w:t>XDG-2024-34</w:t>
            </w:r>
            <w:r>
              <w:rPr>
                <w:rFonts w:ascii="宋体" w:hAnsi="宋体" w:eastAsia="宋体" w:cs="宋体"/>
                <w:color w:val="000000"/>
                <w:sz w:val="21"/>
                <w:szCs w:val="22"/>
                <w:highlight w:val="none"/>
              </w:rPr>
              <w:t>号地块</w:t>
            </w:r>
            <w:r>
              <w:rPr>
                <w:rFonts w:asciiTheme="minorHAnsi" w:hAnsiTheme="minorHAnsi" w:cstheme="minorBidi"/>
                <w:color w:val="000000"/>
                <w:sz w:val="21"/>
                <w:szCs w:val="22"/>
                <w:highlight w:val="none"/>
              </w:rPr>
              <w:t>-S1#</w:t>
            </w:r>
          </w:p>
        </w:tc>
      </w:tr>
      <w:tr w14:paraId="53208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3F19A9FD">
            <w:pPr>
              <w:jc w:val="center"/>
              <w:rPr>
                <w:rFonts w:asciiTheme="minorHAnsi" w:hAnsiTheme="minorHAnsi" w:cstheme="minorBidi"/>
                <w:szCs w:val="22"/>
                <w:highlight w:val="none"/>
              </w:rPr>
            </w:pPr>
            <w:r>
              <w:rPr>
                <w:rFonts w:ascii="宋体" w:hAnsi="宋体" w:eastAsia="宋体" w:cs="宋体"/>
                <w:color w:val="000000"/>
                <w:sz w:val="21"/>
                <w:szCs w:val="22"/>
                <w:highlight w:val="none"/>
              </w:rPr>
              <w:t>围护结构</w:t>
            </w:r>
          </w:p>
        </w:tc>
        <w:tc>
          <w:tcPr>
            <w:tcW w:w="165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3552E38">
            <w:pPr>
              <w:jc w:val="center"/>
              <w:rPr>
                <w:rFonts w:asciiTheme="minorHAnsi" w:hAnsiTheme="minorHAnsi" w:cstheme="minorBidi"/>
                <w:szCs w:val="22"/>
                <w:highlight w:val="none"/>
              </w:rPr>
            </w:pPr>
            <w:r>
              <w:rPr>
                <w:rFonts w:ascii="宋体" w:hAnsi="宋体" w:eastAsia="宋体" w:cs="宋体"/>
                <w:color w:val="000000"/>
                <w:sz w:val="21"/>
                <w:szCs w:val="22"/>
                <w:highlight w:val="none"/>
              </w:rPr>
              <w:t>墙体</w:t>
            </w:r>
          </w:p>
        </w:tc>
        <w:tc>
          <w:tcPr>
            <w:tcW w:w="3840" w:type="dxa"/>
            <w:tcBorders>
              <w:top w:val="single" w:color="000000" w:sz="8"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4C718FC0">
            <w:pPr>
              <w:spacing w:line="360" w:lineRule="exact"/>
              <w:jc w:val="center"/>
              <w:rPr>
                <w:rFonts w:asciiTheme="minorHAnsi" w:hAnsiTheme="minorHAnsi" w:cstheme="minorBidi"/>
                <w:szCs w:val="22"/>
                <w:highlight w:val="none"/>
              </w:rPr>
            </w:pPr>
            <w:r>
              <w:rPr>
                <w:rFonts w:ascii="宋体" w:hAnsi="宋体" w:eastAsia="宋体" w:cs="宋体"/>
                <w:color w:val="000000"/>
                <w:sz w:val="21"/>
                <w:szCs w:val="22"/>
                <w:highlight w:val="none"/>
              </w:rPr>
              <w:t>传热系数（</w:t>
            </w:r>
            <w:r>
              <w:rPr>
                <w:rFonts w:asciiTheme="minorHAnsi" w:hAnsiTheme="minorHAnsi" w:cstheme="minorBidi"/>
                <w:color w:val="000000"/>
                <w:sz w:val="21"/>
                <w:szCs w:val="22"/>
                <w:highlight w:val="none"/>
              </w:rPr>
              <w:t>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w:t>
            </w:r>
            <w:r>
              <w:rPr>
                <w:rFonts w:ascii="宋体" w:hAnsi="宋体" w:eastAsia="宋体" w:cs="宋体"/>
                <w:color w:val="000000"/>
                <w:sz w:val="21"/>
                <w:szCs w:val="22"/>
                <w:highlight w:val="none"/>
              </w:rPr>
              <w:t>）保温材料层厚度（</w:t>
            </w:r>
            <w:r>
              <w:rPr>
                <w:rFonts w:asciiTheme="minorHAnsi" w:hAnsiTheme="minorHAnsi" w:cstheme="minorBidi"/>
                <w:color w:val="000000"/>
                <w:sz w:val="21"/>
                <w:szCs w:val="22"/>
                <w:highlight w:val="none"/>
              </w:rPr>
              <w:t>mm</w:t>
            </w:r>
            <w:r>
              <w:rPr>
                <w:rFonts w:ascii="宋体" w:hAnsi="宋体" w:eastAsia="宋体" w:cs="宋体"/>
                <w:color w:val="000000"/>
                <w:sz w:val="21"/>
                <w:szCs w:val="22"/>
                <w:highlight w:val="none"/>
              </w:rPr>
              <w:t>）</w:t>
            </w:r>
          </w:p>
        </w:tc>
        <w:tc>
          <w:tcPr>
            <w:tcW w:w="3180" w:type="dxa"/>
            <w:tcBorders>
              <w:top w:val="single" w:color="000000" w:sz="8"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93AEAD6">
            <w:pPr>
              <w:spacing w:line="360" w:lineRule="exact"/>
              <w:rPr>
                <w:rFonts w:asciiTheme="minorHAnsi" w:hAnsiTheme="minorHAnsi" w:cstheme="minorBidi"/>
                <w:szCs w:val="22"/>
                <w:highlight w:val="none"/>
              </w:rPr>
            </w:pPr>
            <w:r>
              <w:rPr>
                <w:rFonts w:asciiTheme="minorHAnsi" w:hAnsiTheme="minorHAnsi" w:cstheme="minorBidi"/>
                <w:color w:val="000000"/>
                <w:sz w:val="21"/>
                <w:szCs w:val="22"/>
                <w:highlight w:val="none"/>
              </w:rPr>
              <w:t>0.64W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 ,  40mm</w:t>
            </w:r>
          </w:p>
        </w:tc>
      </w:tr>
      <w:tr w14:paraId="5312F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72250ED2">
            <w:pPr>
              <w:rPr>
                <w:rFonts w:asciiTheme="minorHAnsi" w:hAnsiTheme="minorHAnsi" w:cstheme="minorBidi"/>
                <w:szCs w:val="22"/>
                <w:highlight w:val="none"/>
              </w:rPr>
            </w:pPr>
          </w:p>
        </w:tc>
        <w:tc>
          <w:tcPr>
            <w:tcW w:w="165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405A5064">
            <w:pPr>
              <w:jc w:val="center"/>
              <w:rPr>
                <w:rFonts w:asciiTheme="minorHAnsi" w:hAnsiTheme="minorHAnsi" w:cstheme="minorBidi"/>
                <w:szCs w:val="22"/>
                <w:highlight w:val="none"/>
              </w:rPr>
            </w:pPr>
            <w:r>
              <w:rPr>
                <w:rFonts w:ascii="宋体" w:hAnsi="宋体" w:eastAsia="宋体" w:cs="宋体"/>
                <w:color w:val="000000"/>
                <w:sz w:val="21"/>
                <w:szCs w:val="22"/>
                <w:highlight w:val="none"/>
              </w:rPr>
              <w:t>屋面</w:t>
            </w:r>
          </w:p>
        </w:tc>
        <w:tc>
          <w:tcPr>
            <w:tcW w:w="384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62959AAB">
            <w:pPr>
              <w:jc w:val="center"/>
              <w:rPr>
                <w:rFonts w:asciiTheme="minorHAnsi" w:hAnsiTheme="minorHAnsi" w:cstheme="minorBidi"/>
                <w:szCs w:val="22"/>
                <w:highlight w:val="none"/>
              </w:rPr>
            </w:pPr>
            <w:r>
              <w:rPr>
                <w:rFonts w:ascii="宋体" w:hAnsi="宋体" w:eastAsia="宋体" w:cs="宋体"/>
                <w:color w:val="000000"/>
                <w:sz w:val="21"/>
                <w:szCs w:val="22"/>
                <w:highlight w:val="none"/>
              </w:rPr>
              <w:t>传热系数（</w:t>
            </w:r>
            <w:r>
              <w:rPr>
                <w:rFonts w:asciiTheme="minorHAnsi" w:hAnsiTheme="minorHAnsi" w:cstheme="minorBidi"/>
                <w:color w:val="000000"/>
                <w:sz w:val="21"/>
                <w:szCs w:val="22"/>
                <w:highlight w:val="none"/>
              </w:rPr>
              <w:t>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w:t>
            </w:r>
            <w:r>
              <w:rPr>
                <w:rFonts w:ascii="宋体" w:hAnsi="宋体" w:eastAsia="宋体" w:cs="宋体"/>
                <w:color w:val="000000"/>
                <w:sz w:val="21"/>
                <w:szCs w:val="22"/>
                <w:highlight w:val="none"/>
              </w:rPr>
              <w:t>）保温材料层厚度（</w:t>
            </w:r>
            <w:r>
              <w:rPr>
                <w:rFonts w:asciiTheme="minorHAnsi" w:hAnsiTheme="minorHAnsi" w:cstheme="minorBidi"/>
                <w:color w:val="000000"/>
                <w:sz w:val="21"/>
                <w:szCs w:val="22"/>
                <w:highlight w:val="none"/>
              </w:rPr>
              <w:t>mm</w:t>
            </w:r>
            <w:r>
              <w:rPr>
                <w:rFonts w:ascii="宋体" w:hAnsi="宋体" w:eastAsia="宋体" w:cs="宋体"/>
                <w:color w:val="000000"/>
                <w:sz w:val="21"/>
                <w:szCs w:val="22"/>
                <w:highlight w:val="none"/>
              </w:rPr>
              <w:t>）</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6372F94">
            <w:pPr>
              <w:rPr>
                <w:rFonts w:asciiTheme="minorHAnsi" w:hAnsiTheme="minorHAnsi" w:cstheme="minorBidi"/>
                <w:szCs w:val="22"/>
                <w:highlight w:val="none"/>
              </w:rPr>
            </w:pPr>
            <w:r>
              <w:rPr>
                <w:rFonts w:asciiTheme="minorHAnsi" w:hAnsiTheme="minorHAnsi" w:cstheme="minorBidi"/>
                <w:color w:val="000000"/>
                <w:sz w:val="21"/>
                <w:szCs w:val="22"/>
                <w:highlight w:val="none"/>
              </w:rPr>
              <w:t>0.39W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 ,  105mm</w:t>
            </w:r>
          </w:p>
        </w:tc>
      </w:tr>
      <w:tr w14:paraId="0B5CF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19D856E2">
            <w:pPr>
              <w:rPr>
                <w:rFonts w:asciiTheme="minorHAnsi" w:hAnsiTheme="minorHAnsi" w:cstheme="minorBidi"/>
                <w:szCs w:val="22"/>
                <w:highlight w:val="none"/>
              </w:rPr>
            </w:pPr>
          </w:p>
        </w:tc>
        <w:tc>
          <w:tcPr>
            <w:tcW w:w="165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63D0BCDD">
            <w:pPr>
              <w:jc w:val="center"/>
              <w:rPr>
                <w:rFonts w:asciiTheme="minorHAnsi" w:hAnsiTheme="minorHAnsi" w:cstheme="minorBidi"/>
                <w:szCs w:val="22"/>
                <w:highlight w:val="none"/>
              </w:rPr>
            </w:pPr>
            <w:r>
              <w:rPr>
                <w:rFonts w:ascii="宋体" w:hAnsi="宋体" w:eastAsia="宋体" w:cs="宋体"/>
                <w:color w:val="000000"/>
                <w:sz w:val="21"/>
                <w:szCs w:val="22"/>
                <w:highlight w:val="none"/>
              </w:rPr>
              <w:t>地面</w:t>
            </w:r>
          </w:p>
        </w:tc>
        <w:tc>
          <w:tcPr>
            <w:tcW w:w="384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0DCD473F">
            <w:pPr>
              <w:jc w:val="center"/>
              <w:rPr>
                <w:rFonts w:asciiTheme="minorHAnsi" w:hAnsiTheme="minorHAnsi" w:cstheme="minorBidi"/>
                <w:szCs w:val="22"/>
                <w:highlight w:val="none"/>
              </w:rPr>
            </w:pPr>
            <w:r>
              <w:rPr>
                <w:rFonts w:ascii="宋体" w:hAnsi="宋体" w:eastAsia="宋体" w:cs="宋体"/>
                <w:color w:val="000000"/>
                <w:sz w:val="21"/>
                <w:szCs w:val="22"/>
                <w:highlight w:val="none"/>
              </w:rPr>
              <w:t>传热系数（</w:t>
            </w:r>
            <w:r>
              <w:rPr>
                <w:rFonts w:asciiTheme="minorHAnsi" w:hAnsiTheme="minorHAnsi" w:cstheme="minorBidi"/>
                <w:color w:val="000000"/>
                <w:sz w:val="21"/>
                <w:szCs w:val="22"/>
                <w:highlight w:val="none"/>
              </w:rPr>
              <w:t>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w:t>
            </w:r>
            <w:r>
              <w:rPr>
                <w:rFonts w:ascii="宋体" w:hAnsi="宋体" w:eastAsia="宋体" w:cs="宋体"/>
                <w:color w:val="000000"/>
                <w:sz w:val="21"/>
                <w:szCs w:val="22"/>
                <w:highlight w:val="none"/>
              </w:rPr>
              <w:t>）保温材料层厚度（</w:t>
            </w:r>
            <w:r>
              <w:rPr>
                <w:rFonts w:asciiTheme="minorHAnsi" w:hAnsiTheme="minorHAnsi" w:cstheme="minorBidi"/>
                <w:color w:val="000000"/>
                <w:sz w:val="21"/>
                <w:szCs w:val="22"/>
                <w:highlight w:val="none"/>
              </w:rPr>
              <w:t>mm</w:t>
            </w:r>
            <w:r>
              <w:rPr>
                <w:rFonts w:ascii="宋体" w:hAnsi="宋体" w:eastAsia="宋体" w:cs="宋体"/>
                <w:color w:val="000000"/>
                <w:sz w:val="21"/>
                <w:szCs w:val="22"/>
                <w:highlight w:val="none"/>
              </w:rPr>
              <w:t>）</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64F61B26">
            <w:pPr>
              <w:ind w:firstLine="210" w:firstLineChars="100"/>
              <w:rPr>
                <w:rFonts w:asciiTheme="minorHAnsi" w:hAnsiTheme="minorHAnsi" w:cstheme="minorBidi"/>
                <w:szCs w:val="22"/>
                <w:highlight w:val="none"/>
              </w:rPr>
            </w:pPr>
            <w:r>
              <w:rPr>
                <w:rFonts w:asciiTheme="minorHAnsi" w:hAnsiTheme="minorHAnsi" w:cstheme="minorBidi"/>
                <w:color w:val="000000"/>
                <w:sz w:val="21"/>
                <w:szCs w:val="22"/>
                <w:highlight w:val="none"/>
              </w:rPr>
              <w:t>/</w:t>
            </w:r>
          </w:p>
        </w:tc>
      </w:tr>
      <w:tr w14:paraId="35314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7CA373AE">
            <w:pPr>
              <w:rPr>
                <w:rFonts w:asciiTheme="minorHAnsi" w:hAnsiTheme="minorHAnsi" w:cstheme="minorBidi"/>
                <w:szCs w:val="22"/>
                <w:highlight w:val="none"/>
              </w:rPr>
            </w:pPr>
          </w:p>
        </w:tc>
        <w:tc>
          <w:tcPr>
            <w:tcW w:w="1650" w:type="dxa"/>
            <w:vMerge w:val="restart"/>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0F3C3216">
            <w:pPr>
              <w:jc w:val="center"/>
              <w:rPr>
                <w:rFonts w:asciiTheme="minorHAnsi" w:hAnsiTheme="minorHAnsi" w:cstheme="minorBidi"/>
                <w:szCs w:val="22"/>
                <w:highlight w:val="none"/>
              </w:rPr>
            </w:pPr>
            <w:r>
              <w:rPr>
                <w:rFonts w:ascii="宋体" w:hAnsi="宋体" w:eastAsia="宋体" w:cs="宋体"/>
                <w:color w:val="000000"/>
                <w:sz w:val="21"/>
                <w:szCs w:val="22"/>
                <w:highlight w:val="none"/>
              </w:rPr>
              <w:t>门窗</w:t>
            </w:r>
          </w:p>
        </w:tc>
        <w:tc>
          <w:tcPr>
            <w:tcW w:w="384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72799C4D">
            <w:pPr>
              <w:jc w:val="center"/>
              <w:rPr>
                <w:rFonts w:asciiTheme="minorHAnsi" w:hAnsiTheme="minorHAnsi" w:cstheme="minorBidi"/>
                <w:szCs w:val="22"/>
                <w:highlight w:val="none"/>
              </w:rPr>
            </w:pPr>
            <w:r>
              <w:rPr>
                <w:rFonts w:ascii="宋体" w:hAnsi="宋体" w:eastAsia="宋体" w:cs="宋体"/>
                <w:color w:val="000000"/>
                <w:sz w:val="21"/>
                <w:szCs w:val="22"/>
                <w:highlight w:val="none"/>
              </w:rPr>
              <w:t>传热系数</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81CC350">
            <w:pPr>
              <w:rPr>
                <w:rFonts w:asciiTheme="minorHAnsi" w:hAnsiTheme="minorHAnsi" w:cstheme="minorBidi"/>
                <w:szCs w:val="22"/>
                <w:highlight w:val="none"/>
              </w:rPr>
            </w:pPr>
            <w:r>
              <w:rPr>
                <w:rFonts w:asciiTheme="minorHAnsi" w:hAnsiTheme="minorHAnsi" w:cstheme="minorBidi"/>
                <w:color w:val="000000"/>
                <w:sz w:val="21"/>
                <w:szCs w:val="22"/>
                <w:highlight w:val="none"/>
              </w:rPr>
              <w:t>2.10W</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.K</w:t>
            </w:r>
          </w:p>
        </w:tc>
      </w:tr>
      <w:tr w14:paraId="1E928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06F18473">
            <w:pPr>
              <w:rPr>
                <w:rFonts w:asciiTheme="minorHAnsi" w:hAnsiTheme="minorHAnsi" w:cstheme="minorBidi"/>
                <w:szCs w:val="22"/>
                <w:highlight w:val="none"/>
              </w:rPr>
            </w:pPr>
          </w:p>
        </w:tc>
        <w:tc>
          <w:tcPr>
            <w:tcW w:w="1650" w:type="dxa"/>
            <w:vMerge w:val="continue"/>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966E9EB">
            <w:pPr>
              <w:rPr>
                <w:rFonts w:asciiTheme="minorHAnsi" w:hAnsiTheme="minorHAnsi" w:cstheme="minorBidi"/>
                <w:szCs w:val="22"/>
                <w:highlight w:val="none"/>
              </w:rPr>
            </w:pPr>
          </w:p>
        </w:tc>
        <w:tc>
          <w:tcPr>
            <w:tcW w:w="384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A71902A">
            <w:pPr>
              <w:jc w:val="center"/>
              <w:rPr>
                <w:rFonts w:asciiTheme="minorHAnsi" w:hAnsiTheme="minorHAnsi" w:cstheme="minorBidi"/>
                <w:szCs w:val="22"/>
                <w:highlight w:val="none"/>
              </w:rPr>
            </w:pPr>
            <w:r>
              <w:rPr>
                <w:rFonts w:ascii="宋体" w:hAnsi="宋体" w:eastAsia="宋体" w:cs="宋体"/>
                <w:color w:val="000000"/>
                <w:sz w:val="21"/>
                <w:szCs w:val="22"/>
                <w:highlight w:val="none"/>
              </w:rPr>
              <w:t>综合遮阳系数</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398BC87">
            <w:pPr>
              <w:jc w:val="left"/>
              <w:rPr>
                <w:rFonts w:asciiTheme="minorHAnsi" w:hAnsiTheme="minorHAnsi" w:cstheme="minorBidi"/>
                <w:szCs w:val="22"/>
                <w:highlight w:val="none"/>
              </w:rPr>
            </w:pPr>
            <w:r>
              <w:rPr>
                <w:rFonts w:asciiTheme="minorHAnsi" w:hAnsiTheme="minorHAnsi" w:cstheme="minorBidi"/>
                <w:color w:val="000000"/>
                <w:sz w:val="21"/>
                <w:szCs w:val="22"/>
                <w:highlight w:val="none"/>
              </w:rPr>
              <w:t>0.545</w:t>
            </w:r>
          </w:p>
        </w:tc>
      </w:tr>
      <w:tr w14:paraId="65BF8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6237CEFA">
            <w:pPr>
              <w:rPr>
                <w:rFonts w:asciiTheme="minorHAnsi" w:hAnsiTheme="minorHAnsi" w:cstheme="minorBidi"/>
                <w:szCs w:val="22"/>
                <w:highlight w:val="none"/>
              </w:rPr>
            </w:pPr>
          </w:p>
        </w:tc>
        <w:tc>
          <w:tcPr>
            <w:tcW w:w="1650" w:type="dxa"/>
            <w:vMerge w:val="continue"/>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F7F8225">
            <w:pPr>
              <w:rPr>
                <w:rFonts w:asciiTheme="minorHAnsi" w:hAnsiTheme="minorHAnsi" w:cstheme="minorBidi"/>
                <w:szCs w:val="22"/>
                <w:highlight w:val="none"/>
              </w:rPr>
            </w:pPr>
          </w:p>
        </w:tc>
        <w:tc>
          <w:tcPr>
            <w:tcW w:w="384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D303A64">
            <w:pPr>
              <w:jc w:val="center"/>
              <w:rPr>
                <w:rFonts w:asciiTheme="minorHAnsi" w:hAnsiTheme="minorHAnsi" w:cstheme="minorBidi"/>
                <w:szCs w:val="22"/>
                <w:highlight w:val="none"/>
              </w:rPr>
            </w:pPr>
            <w:r>
              <w:rPr>
                <w:rFonts w:ascii="宋体" w:hAnsi="宋体" w:eastAsia="宋体" w:cs="宋体"/>
                <w:color w:val="000000"/>
                <w:sz w:val="21"/>
                <w:szCs w:val="22"/>
                <w:highlight w:val="none"/>
              </w:rPr>
              <w:t>节能性能标识</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91F25F2">
            <w:pPr>
              <w:rPr>
                <w:rFonts w:asciiTheme="minorHAnsi" w:hAnsiTheme="minorHAnsi" w:cstheme="minorBidi"/>
                <w:szCs w:val="22"/>
                <w:highlight w:val="none"/>
              </w:rPr>
            </w:pPr>
            <w:r>
              <w:rPr>
                <w:rFonts w:ascii="宋体" w:hAnsi="宋体" w:eastAsia="宋体" w:cs="宋体"/>
                <w:color w:val="000000"/>
                <w:sz w:val="21"/>
                <w:szCs w:val="22"/>
                <w:highlight w:val="none"/>
              </w:rPr>
              <w:t>断热桥铝合金中空玻璃窗</w:t>
            </w:r>
          </w:p>
        </w:tc>
      </w:tr>
      <w:tr w14:paraId="0403C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3A13C073">
            <w:pPr>
              <w:jc w:val="center"/>
              <w:rPr>
                <w:rFonts w:asciiTheme="minorHAnsi" w:hAnsiTheme="minorHAnsi" w:cstheme="minorBidi"/>
                <w:szCs w:val="22"/>
                <w:highlight w:val="none"/>
              </w:rPr>
            </w:pPr>
            <w:r>
              <w:rPr>
                <w:rFonts w:ascii="宋体" w:hAnsi="宋体" w:eastAsia="宋体" w:cs="宋体"/>
                <w:color w:val="000000"/>
                <w:sz w:val="21"/>
                <w:szCs w:val="22"/>
                <w:highlight w:val="none"/>
              </w:rPr>
              <w:t>供热系统</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6EA3B9AE">
            <w:pPr>
              <w:jc w:val="center"/>
              <w:rPr>
                <w:rFonts w:asciiTheme="minorHAnsi" w:hAnsiTheme="minorHAnsi" w:cstheme="minorBidi"/>
                <w:szCs w:val="22"/>
                <w:highlight w:val="none"/>
              </w:rPr>
            </w:pPr>
            <w:r>
              <w:rPr>
                <w:rFonts w:ascii="宋体" w:hAnsi="宋体" w:eastAsia="宋体" w:cs="宋体"/>
                <w:color w:val="000000"/>
                <w:sz w:val="21"/>
                <w:szCs w:val="22"/>
                <w:highlight w:val="none"/>
              </w:rPr>
              <w:t>室内采暖形式</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666C3DCB">
            <w:pPr>
              <w:ind w:firstLine="210" w:firstLineChars="100"/>
              <w:rPr>
                <w:rFonts w:asciiTheme="minorHAnsi" w:hAnsiTheme="minorHAnsi" w:cstheme="minorBidi"/>
                <w:szCs w:val="22"/>
                <w:highlight w:val="none"/>
              </w:rPr>
            </w:pPr>
            <w:r>
              <w:rPr>
                <w:rFonts w:ascii="宋体" w:hAnsi="宋体" w:eastAsia="宋体" w:cs="宋体"/>
                <w:color w:val="000000"/>
                <w:sz w:val="21"/>
                <w:szCs w:val="22"/>
                <w:highlight w:val="none"/>
              </w:rPr>
              <w:t>其他</w:t>
            </w:r>
          </w:p>
        </w:tc>
      </w:tr>
      <w:tr w14:paraId="17073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79610561">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5E1B38AB">
            <w:pPr>
              <w:jc w:val="center"/>
              <w:rPr>
                <w:rFonts w:asciiTheme="minorHAnsi" w:hAnsiTheme="minorHAnsi" w:cstheme="minorBidi"/>
                <w:szCs w:val="22"/>
                <w:highlight w:val="none"/>
              </w:rPr>
            </w:pPr>
            <w:r>
              <w:rPr>
                <w:rFonts w:ascii="宋体" w:hAnsi="宋体" w:eastAsia="宋体" w:cs="宋体"/>
                <w:color w:val="000000"/>
                <w:sz w:val="21"/>
                <w:szCs w:val="22"/>
                <w:highlight w:val="none"/>
              </w:rPr>
              <w:t>热计量方式</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71BB47BE">
            <w:pPr>
              <w:ind w:firstLine="210" w:firstLineChars="100"/>
              <w:rPr>
                <w:rFonts w:asciiTheme="minorHAnsi" w:hAnsiTheme="minorHAnsi" w:cstheme="minorBidi"/>
                <w:szCs w:val="22"/>
                <w:highlight w:val="none"/>
              </w:rPr>
            </w:pPr>
            <w:r>
              <w:rPr>
                <w:rFonts w:ascii="宋体" w:hAnsi="宋体" w:eastAsia="宋体" w:cs="宋体"/>
                <w:color w:val="000000"/>
                <w:sz w:val="21"/>
                <w:szCs w:val="22"/>
                <w:highlight w:val="none"/>
              </w:rPr>
              <w:t>其他</w:t>
            </w:r>
          </w:p>
        </w:tc>
      </w:tr>
      <w:tr w14:paraId="3AB6E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12FAC2B8">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F5D0E80">
            <w:pPr>
              <w:jc w:val="center"/>
              <w:rPr>
                <w:rFonts w:asciiTheme="minorHAnsi" w:hAnsiTheme="minorHAnsi" w:cstheme="minorBidi"/>
                <w:szCs w:val="22"/>
                <w:highlight w:val="none"/>
              </w:rPr>
            </w:pPr>
            <w:r>
              <w:rPr>
                <w:rFonts w:ascii="宋体" w:hAnsi="宋体" w:eastAsia="宋体" w:cs="宋体"/>
                <w:color w:val="000000"/>
                <w:sz w:val="21"/>
                <w:szCs w:val="22"/>
                <w:highlight w:val="none"/>
              </w:rPr>
              <w:t>系统调节装置</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7DBBA2B">
            <w:pPr>
              <w:ind w:firstLine="210" w:firstLineChars="100"/>
              <w:rPr>
                <w:rFonts w:asciiTheme="minorHAnsi" w:hAnsiTheme="minorHAnsi" w:cstheme="minorBidi"/>
                <w:szCs w:val="22"/>
                <w:highlight w:val="none"/>
              </w:rPr>
            </w:pPr>
            <w:r>
              <w:rPr>
                <w:rFonts w:ascii="宋体" w:hAnsi="宋体" w:eastAsia="宋体" w:cs="宋体"/>
                <w:color w:val="000000"/>
                <w:sz w:val="21"/>
                <w:szCs w:val="22"/>
                <w:highlight w:val="none"/>
              </w:rPr>
              <w:t>其他</w:t>
            </w:r>
          </w:p>
        </w:tc>
      </w:tr>
      <w:tr w14:paraId="1E966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7DE1EAAB">
            <w:pPr>
              <w:jc w:val="center"/>
              <w:rPr>
                <w:rFonts w:asciiTheme="minorHAnsi" w:hAnsiTheme="minorHAnsi" w:cstheme="minorBidi"/>
                <w:szCs w:val="22"/>
                <w:highlight w:val="none"/>
              </w:rPr>
            </w:pPr>
            <w:r>
              <w:rPr>
                <w:rFonts w:ascii="宋体" w:hAnsi="宋体" w:eastAsia="宋体" w:cs="宋体"/>
                <w:color w:val="000000"/>
                <w:sz w:val="21"/>
                <w:szCs w:val="22"/>
                <w:highlight w:val="none"/>
              </w:rPr>
              <w:t>空调系统</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32C6E29B">
            <w:pPr>
              <w:jc w:val="center"/>
              <w:rPr>
                <w:rFonts w:asciiTheme="minorHAnsi" w:hAnsiTheme="minorHAnsi" w:cstheme="minorBidi"/>
                <w:szCs w:val="22"/>
                <w:highlight w:val="none"/>
              </w:rPr>
            </w:pPr>
            <w:r>
              <w:rPr>
                <w:rFonts w:ascii="宋体" w:hAnsi="宋体" w:eastAsia="宋体" w:cs="宋体"/>
                <w:color w:val="000000"/>
                <w:sz w:val="21"/>
                <w:szCs w:val="22"/>
                <w:highlight w:val="none"/>
              </w:rPr>
              <w:t>冷源机组类型</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E6E7085">
            <w:pPr>
              <w:rPr>
                <w:rFonts w:asciiTheme="minorHAnsi" w:hAnsiTheme="minorHAnsi" w:cstheme="minorBidi"/>
                <w:szCs w:val="22"/>
                <w:highlight w:val="none"/>
              </w:rPr>
            </w:pPr>
            <w:r>
              <w:rPr>
                <w:rFonts w:ascii="宋体" w:hAnsi="宋体" w:eastAsia="宋体" w:cs="宋体"/>
                <w:color w:val="000000"/>
                <w:sz w:val="21"/>
                <w:szCs w:val="22"/>
                <w:highlight w:val="none"/>
              </w:rPr>
              <w:t>区域集中供冷</w:t>
            </w:r>
          </w:p>
        </w:tc>
      </w:tr>
      <w:tr w14:paraId="2296A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365A9E4C">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460DB110">
            <w:pPr>
              <w:jc w:val="center"/>
              <w:rPr>
                <w:rFonts w:asciiTheme="minorHAnsi" w:hAnsiTheme="minorHAnsi" w:cstheme="minorBidi"/>
                <w:szCs w:val="22"/>
                <w:highlight w:val="none"/>
              </w:rPr>
            </w:pPr>
            <w:r>
              <w:rPr>
                <w:rFonts w:ascii="宋体" w:hAnsi="宋体" w:eastAsia="宋体" w:cs="宋体"/>
                <w:color w:val="000000"/>
                <w:sz w:val="21"/>
                <w:szCs w:val="22"/>
                <w:highlight w:val="none"/>
              </w:rPr>
              <w:t>能效比</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677D0E37">
            <w:pPr>
              <w:rPr>
                <w:rFonts w:asciiTheme="minorHAnsi" w:hAnsiTheme="minorHAnsi" w:cstheme="minorBidi"/>
                <w:szCs w:val="22"/>
                <w:highlight w:val="none"/>
              </w:rPr>
            </w:pPr>
            <w:r>
              <w:rPr>
                <w:rFonts w:asciiTheme="minorHAnsi" w:hAnsiTheme="minorHAnsi" w:cstheme="minorBidi"/>
                <w:color w:val="000000"/>
                <w:sz w:val="21"/>
                <w:szCs w:val="22"/>
                <w:highlight w:val="none"/>
              </w:rPr>
              <w:t>APF</w:t>
            </w: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4.3</w:t>
            </w:r>
          </w:p>
        </w:tc>
      </w:tr>
      <w:tr w14:paraId="16A2D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632976BD">
            <w:pPr>
              <w:jc w:val="center"/>
              <w:rPr>
                <w:rFonts w:asciiTheme="minorHAnsi" w:hAnsiTheme="minorHAnsi" w:cstheme="minorBidi"/>
                <w:szCs w:val="22"/>
                <w:highlight w:val="none"/>
              </w:rPr>
            </w:pPr>
            <w:r>
              <w:rPr>
                <w:rFonts w:ascii="宋体" w:hAnsi="宋体" w:eastAsia="宋体" w:cs="宋体"/>
                <w:color w:val="000000"/>
                <w:sz w:val="21"/>
                <w:szCs w:val="22"/>
                <w:highlight w:val="none"/>
              </w:rPr>
              <w:t>热水利用</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656B2C3">
            <w:pPr>
              <w:jc w:val="center"/>
              <w:rPr>
                <w:rFonts w:asciiTheme="minorHAnsi" w:hAnsiTheme="minorHAnsi" w:cstheme="minorBidi"/>
                <w:szCs w:val="22"/>
                <w:highlight w:val="none"/>
              </w:rPr>
            </w:pPr>
            <w:r>
              <w:rPr>
                <w:rFonts w:ascii="宋体" w:hAnsi="宋体" w:eastAsia="宋体" w:cs="宋体"/>
                <w:color w:val="000000"/>
                <w:sz w:val="21"/>
                <w:szCs w:val="22"/>
                <w:highlight w:val="none"/>
              </w:rPr>
              <w:t>供应方式</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73D9A3E8">
            <w:pPr>
              <w:jc w:val="center"/>
              <w:rPr>
                <w:rFonts w:asciiTheme="minorHAnsi" w:hAnsiTheme="minorHAnsi" w:cstheme="minorBidi"/>
                <w:szCs w:val="22"/>
                <w:highlight w:val="none"/>
              </w:rPr>
            </w:pPr>
            <w:r>
              <w:rPr>
                <w:rFonts w:ascii="宋体" w:hAnsi="宋体" w:eastAsia="宋体" w:cs="宋体"/>
                <w:color w:val="000000"/>
                <w:sz w:val="21"/>
                <w:szCs w:val="22"/>
                <w:highlight w:val="none"/>
              </w:rPr>
              <w:t> </w:t>
            </w:r>
          </w:p>
        </w:tc>
      </w:tr>
      <w:tr w14:paraId="0B596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7CB26FA8">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000738A">
            <w:pPr>
              <w:jc w:val="center"/>
              <w:rPr>
                <w:rFonts w:asciiTheme="minorHAnsi" w:hAnsiTheme="minorHAnsi" w:cstheme="minorBidi"/>
                <w:szCs w:val="22"/>
                <w:highlight w:val="none"/>
              </w:rPr>
            </w:pPr>
            <w:r>
              <w:rPr>
                <w:rFonts w:ascii="宋体" w:hAnsi="宋体" w:eastAsia="宋体" w:cs="宋体"/>
                <w:color w:val="000000"/>
                <w:sz w:val="21"/>
                <w:szCs w:val="22"/>
                <w:highlight w:val="none"/>
              </w:rPr>
              <w:t>用能类型</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12786574">
            <w:pPr>
              <w:ind w:firstLine="210" w:firstLineChars="100"/>
              <w:rPr>
                <w:rFonts w:asciiTheme="minorHAnsi" w:hAnsiTheme="minorHAnsi" w:cstheme="minorBidi"/>
                <w:szCs w:val="22"/>
                <w:highlight w:val="none"/>
              </w:rPr>
            </w:pPr>
            <w:r>
              <w:rPr>
                <w:rFonts w:ascii="宋体" w:hAnsi="宋体" w:eastAsia="宋体" w:cs="宋体"/>
                <w:color w:val="000000"/>
                <w:sz w:val="21"/>
                <w:szCs w:val="22"/>
                <w:highlight w:val="none"/>
              </w:rPr>
              <w:t>其他</w:t>
            </w:r>
          </w:p>
        </w:tc>
      </w:tr>
      <w:tr w14:paraId="7F483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6D2DDA24">
            <w:pPr>
              <w:jc w:val="center"/>
              <w:rPr>
                <w:rFonts w:asciiTheme="minorHAnsi" w:hAnsiTheme="minorHAnsi" w:cstheme="minorBidi"/>
                <w:szCs w:val="22"/>
                <w:highlight w:val="none"/>
              </w:rPr>
            </w:pPr>
            <w:r>
              <w:rPr>
                <w:rFonts w:ascii="宋体" w:hAnsi="宋体" w:eastAsia="宋体" w:cs="宋体"/>
                <w:color w:val="000000"/>
                <w:sz w:val="21"/>
                <w:szCs w:val="22"/>
                <w:highlight w:val="none"/>
              </w:rPr>
              <w:t>照明</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0F00224B">
            <w:pPr>
              <w:jc w:val="center"/>
              <w:rPr>
                <w:rFonts w:asciiTheme="minorHAnsi" w:hAnsiTheme="minorHAnsi" w:cstheme="minorBidi"/>
                <w:szCs w:val="22"/>
                <w:highlight w:val="none"/>
              </w:rPr>
            </w:pPr>
            <w:r>
              <w:rPr>
                <w:rFonts w:ascii="宋体" w:hAnsi="宋体" w:eastAsia="宋体" w:cs="宋体"/>
                <w:color w:val="000000"/>
                <w:sz w:val="21"/>
                <w:szCs w:val="22"/>
                <w:highlight w:val="none"/>
              </w:rPr>
              <w:t>照度</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tcPr>
          <w:p w14:paraId="015230E8">
            <w:pPr>
              <w:rPr>
                <w:rFonts w:asciiTheme="minorHAnsi" w:hAnsiTheme="minorHAnsi" w:cstheme="minorBidi"/>
                <w:szCs w:val="22"/>
                <w:highlight w:val="none"/>
              </w:rPr>
            </w:pPr>
            <w:r>
              <w:rPr>
                <w:rFonts w:asciiTheme="minorHAnsi" w:hAnsiTheme="minorHAnsi" w:cstheme="minorBidi"/>
                <w:color w:val="000000"/>
                <w:sz w:val="21"/>
                <w:szCs w:val="22"/>
                <w:highlight w:val="none"/>
              </w:rPr>
              <w:t>300Lx</w:t>
            </w:r>
          </w:p>
        </w:tc>
      </w:tr>
      <w:tr w14:paraId="20B14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2EB48136">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4DB758D3">
            <w:pPr>
              <w:jc w:val="center"/>
              <w:rPr>
                <w:rFonts w:asciiTheme="minorHAnsi" w:hAnsiTheme="minorHAnsi" w:cstheme="minorBidi"/>
                <w:szCs w:val="22"/>
                <w:highlight w:val="none"/>
              </w:rPr>
            </w:pPr>
            <w:r>
              <w:rPr>
                <w:rFonts w:ascii="宋体" w:hAnsi="宋体" w:eastAsia="宋体" w:cs="宋体"/>
                <w:color w:val="000000"/>
                <w:sz w:val="21"/>
                <w:szCs w:val="22"/>
                <w:highlight w:val="none"/>
              </w:rPr>
              <w:t>功率密度</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tcPr>
          <w:p w14:paraId="421C3D04">
            <w:pPr>
              <w:rPr>
                <w:rFonts w:asciiTheme="minorHAnsi" w:hAnsiTheme="minorHAnsi" w:cstheme="minorBidi"/>
                <w:szCs w:val="22"/>
                <w:highlight w:val="none"/>
              </w:rPr>
            </w:pPr>
            <w:r>
              <w:rPr>
                <w:rFonts w:ascii="宋体" w:hAnsi="宋体" w:eastAsia="宋体" w:cs="宋体"/>
                <w:color w:val="000000"/>
                <w:sz w:val="21"/>
                <w:szCs w:val="22"/>
                <w:highlight w:val="none"/>
              </w:rPr>
              <w:t>＜</w:t>
            </w:r>
            <w:r>
              <w:rPr>
                <w:rFonts w:asciiTheme="minorHAnsi" w:hAnsiTheme="minorHAnsi" w:cstheme="minorBidi"/>
                <w:color w:val="000000"/>
                <w:sz w:val="21"/>
                <w:szCs w:val="22"/>
                <w:highlight w:val="none"/>
              </w:rPr>
              <w:t>7W/</w:t>
            </w:r>
            <w:r>
              <w:rPr>
                <w:rFonts w:ascii="宋体" w:hAnsi="宋体" w:eastAsia="宋体" w:cs="宋体"/>
                <w:color w:val="000000"/>
                <w:sz w:val="21"/>
                <w:szCs w:val="22"/>
                <w:highlight w:val="none"/>
              </w:rPr>
              <w:t>㎡</w:t>
            </w:r>
          </w:p>
        </w:tc>
      </w:tr>
      <w:tr w14:paraId="1A257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restart"/>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66C63591">
            <w:pPr>
              <w:jc w:val="center"/>
              <w:rPr>
                <w:rFonts w:asciiTheme="minorHAnsi" w:hAnsiTheme="minorHAnsi" w:cstheme="minorBidi"/>
                <w:szCs w:val="22"/>
                <w:highlight w:val="none"/>
              </w:rPr>
            </w:pPr>
            <w:r>
              <w:rPr>
                <w:rFonts w:ascii="宋体" w:hAnsi="宋体" w:eastAsia="宋体" w:cs="宋体"/>
                <w:color w:val="000000"/>
                <w:sz w:val="21"/>
                <w:szCs w:val="22"/>
                <w:highlight w:val="none"/>
              </w:rPr>
              <w:t>可再生能源利用</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3FBA0700">
            <w:pPr>
              <w:jc w:val="center"/>
              <w:rPr>
                <w:rFonts w:asciiTheme="minorHAnsi" w:hAnsiTheme="minorHAnsi" w:cstheme="minorBidi"/>
                <w:szCs w:val="22"/>
                <w:highlight w:val="none"/>
              </w:rPr>
            </w:pPr>
            <w:r>
              <w:rPr>
                <w:rFonts w:ascii="宋体" w:hAnsi="宋体" w:eastAsia="宋体" w:cs="宋体"/>
                <w:color w:val="000000"/>
                <w:sz w:val="21"/>
                <w:szCs w:val="22"/>
                <w:highlight w:val="none"/>
              </w:rPr>
              <w:t>利用形式</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20BDDED2">
            <w:pPr>
              <w:rPr>
                <w:rFonts w:asciiTheme="minorHAnsi" w:hAnsiTheme="minorHAnsi" w:cstheme="minorBidi"/>
                <w:szCs w:val="22"/>
                <w:highlight w:val="none"/>
              </w:rPr>
            </w:pPr>
            <w:r>
              <w:rPr>
                <w:rFonts w:ascii="宋体" w:hAnsi="宋体" w:eastAsia="宋体" w:cs="宋体"/>
                <w:color w:val="000000"/>
                <w:sz w:val="21"/>
                <w:szCs w:val="22"/>
                <w:highlight w:val="none"/>
              </w:rPr>
              <w:t>太阳能光伏</w:t>
            </w:r>
          </w:p>
        </w:tc>
      </w:tr>
      <w:tr w14:paraId="19D4C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vMerge w:val="continue"/>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373902C7">
            <w:pPr>
              <w:rPr>
                <w:rFonts w:asciiTheme="minorHAnsi" w:hAnsiTheme="minorHAnsi" w:cstheme="minorBidi"/>
                <w:szCs w:val="22"/>
                <w:highlight w:val="none"/>
              </w:rPr>
            </w:pP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09ED6C77">
            <w:pPr>
              <w:jc w:val="center"/>
              <w:rPr>
                <w:rFonts w:asciiTheme="minorHAnsi" w:hAnsiTheme="minorHAnsi" w:cstheme="minorBidi"/>
                <w:szCs w:val="22"/>
                <w:highlight w:val="none"/>
              </w:rPr>
            </w:pPr>
            <w:r>
              <w:rPr>
                <w:rFonts w:ascii="宋体" w:hAnsi="宋体" w:eastAsia="宋体" w:cs="宋体"/>
                <w:color w:val="000000"/>
                <w:sz w:val="21"/>
                <w:szCs w:val="22"/>
                <w:highlight w:val="none"/>
              </w:rPr>
              <w:t>保证率</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40D6DF25">
            <w:pPr>
              <w:jc w:val="center"/>
              <w:rPr>
                <w:rFonts w:asciiTheme="minorHAnsi" w:hAnsiTheme="minorHAnsi" w:cstheme="minorBidi"/>
                <w:szCs w:val="22"/>
                <w:highlight w:val="none"/>
              </w:rPr>
            </w:pPr>
            <w:r>
              <w:rPr>
                <w:rFonts w:asciiTheme="minorHAnsi" w:hAnsiTheme="minorHAnsi" w:cstheme="minorBidi"/>
                <w:color w:val="000000"/>
                <w:sz w:val="21"/>
                <w:szCs w:val="22"/>
                <w:highlight w:val="none"/>
              </w:rPr>
              <w:t> </w:t>
            </w:r>
          </w:p>
        </w:tc>
      </w:tr>
      <w:tr w14:paraId="1F778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5" w:type="dxa"/>
            <w:tcBorders>
              <w:top w:val="single" w:color="000000" w:sz="0" w:space="0"/>
              <w:left w:val="single" w:color="000000" w:sz="8" w:space="0"/>
              <w:bottom w:val="single" w:color="000000" w:sz="8" w:space="0"/>
              <w:right w:val="single" w:color="000000" w:sz="8" w:space="0"/>
            </w:tcBorders>
            <w:tcMar>
              <w:top w:w="0" w:type="dxa"/>
              <w:left w:w="108" w:type="dxa"/>
              <w:bottom w:w="0" w:type="dxa"/>
              <w:right w:w="108" w:type="dxa"/>
            </w:tcMar>
            <w:vAlign w:val="center"/>
          </w:tcPr>
          <w:p w14:paraId="4FEE3531">
            <w:pPr>
              <w:jc w:val="center"/>
              <w:rPr>
                <w:rFonts w:asciiTheme="minorHAnsi" w:hAnsiTheme="minorHAnsi" w:cstheme="minorBidi"/>
                <w:szCs w:val="22"/>
                <w:highlight w:val="none"/>
              </w:rPr>
            </w:pPr>
            <w:r>
              <w:rPr>
                <w:rFonts w:ascii="宋体" w:hAnsi="宋体" w:eastAsia="宋体" w:cs="宋体"/>
                <w:color w:val="000000"/>
                <w:sz w:val="21"/>
                <w:szCs w:val="22"/>
                <w:highlight w:val="none"/>
              </w:rPr>
              <w:t>建筑能源利用效率</w:t>
            </w:r>
          </w:p>
        </w:tc>
        <w:tc>
          <w:tcPr>
            <w:tcW w:w="5490" w:type="dxa"/>
            <w:gridSpan w:val="2"/>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73F6332C">
            <w:pPr>
              <w:jc w:val="center"/>
              <w:rPr>
                <w:rFonts w:asciiTheme="minorHAnsi" w:hAnsiTheme="minorHAnsi" w:cstheme="minorBidi"/>
                <w:szCs w:val="22"/>
                <w:highlight w:val="none"/>
              </w:rPr>
            </w:pPr>
            <w:r>
              <w:rPr>
                <w:rFonts w:ascii="宋体" w:hAnsi="宋体" w:eastAsia="宋体" w:cs="宋体"/>
                <w:color w:val="000000"/>
                <w:sz w:val="21"/>
                <w:szCs w:val="22"/>
                <w:highlight w:val="none"/>
              </w:rPr>
              <w:t>本建筑的节能率与建筑节能标准比较情况</w:t>
            </w:r>
          </w:p>
        </w:tc>
        <w:tc>
          <w:tcPr>
            <w:tcW w:w="3180" w:type="dxa"/>
            <w:tcBorders>
              <w:top w:val="single" w:color="000000" w:sz="0" w:space="0"/>
              <w:left w:val="single" w:color="000000" w:sz="0" w:space="0"/>
              <w:bottom w:val="single" w:color="000000" w:sz="8" w:space="0"/>
              <w:right w:val="single" w:color="000000" w:sz="8" w:space="0"/>
            </w:tcBorders>
            <w:tcMar>
              <w:top w:w="0" w:type="dxa"/>
              <w:left w:w="108" w:type="dxa"/>
              <w:bottom w:w="0" w:type="dxa"/>
              <w:right w:w="108" w:type="dxa"/>
            </w:tcMar>
            <w:vAlign w:val="center"/>
          </w:tcPr>
          <w:p w14:paraId="06B97D0F">
            <w:pPr>
              <w:rPr>
                <w:rFonts w:asciiTheme="minorHAnsi" w:hAnsiTheme="minorHAnsi" w:cstheme="minorBidi"/>
                <w:szCs w:val="22"/>
                <w:highlight w:val="none"/>
              </w:rPr>
            </w:pPr>
            <w:r>
              <w:rPr>
                <w:rFonts w:ascii="宋体" w:hAnsi="宋体" w:eastAsia="宋体" w:cs="宋体"/>
                <w:color w:val="000000"/>
                <w:sz w:val="21"/>
                <w:szCs w:val="22"/>
                <w:highlight w:val="none"/>
              </w:rPr>
              <w:t>满足标准规定</w:t>
            </w:r>
          </w:p>
        </w:tc>
      </w:tr>
    </w:tbl>
    <w:p w14:paraId="603814FC">
      <w:pPr>
        <w:rPr>
          <w:highlight w:val="none"/>
        </w:rPr>
      </w:pPr>
      <w:r>
        <w:rPr>
          <w:rFonts w:ascii="宋体" w:hAnsi="宋体" w:eastAsia="宋体" w:cs="宋体"/>
          <w:color w:val="000000"/>
          <w:sz w:val="21"/>
          <w:highlight w:val="none"/>
        </w:rPr>
        <w:t>填表内容说明：</w:t>
      </w:r>
    </w:p>
    <w:p w14:paraId="6BED4BD1">
      <w:pPr>
        <w:ind w:firstLine="420" w:firstLineChars="200"/>
        <w:rPr>
          <w:highlight w:val="none"/>
        </w:rPr>
      </w:pPr>
      <w:r>
        <w:rPr>
          <w:rFonts w:ascii="宋体" w:hAnsi="宋体" w:eastAsia="宋体" w:cs="宋体"/>
          <w:color w:val="000000"/>
          <w:sz w:val="21"/>
          <w:highlight w:val="none"/>
        </w:rPr>
        <w:t>一、本表所填内容应与建筑节能报审表、经审查合格的节能设计文件一致；</w:t>
      </w:r>
    </w:p>
    <w:p w14:paraId="18B5C0B9">
      <w:pPr>
        <w:ind w:firstLine="420" w:firstLineChars="200"/>
        <w:rPr>
          <w:highlight w:val="none"/>
        </w:rPr>
      </w:pPr>
      <w:r>
        <w:rPr>
          <w:rFonts w:ascii="宋体" w:hAnsi="宋体" w:eastAsia="宋体" w:cs="宋体"/>
          <w:color w:val="000000"/>
          <w:sz w:val="21"/>
          <w:highlight w:val="none"/>
        </w:rPr>
        <w:t>二、门窗类型包括：断热桥铝合金中空玻璃窗、断热桥铝合金</w:t>
      </w:r>
      <w:r>
        <w:rPr>
          <w:color w:val="000000"/>
          <w:sz w:val="21"/>
          <w:highlight w:val="none"/>
        </w:rPr>
        <w:t>LOW-E</w:t>
      </w:r>
      <w:r>
        <w:rPr>
          <w:rFonts w:ascii="宋体" w:hAnsi="宋体" w:eastAsia="宋体" w:cs="宋体"/>
          <w:color w:val="000000"/>
          <w:sz w:val="21"/>
          <w:highlight w:val="none"/>
        </w:rPr>
        <w:t>中空玻璃窗、塑钢中空玻璃窗、塑钢</w:t>
      </w:r>
      <w:r>
        <w:rPr>
          <w:color w:val="000000"/>
          <w:sz w:val="21"/>
          <w:highlight w:val="none"/>
        </w:rPr>
        <w:t>LOW-E</w:t>
      </w:r>
      <w:r>
        <w:rPr>
          <w:rFonts w:ascii="宋体" w:hAnsi="宋体" w:eastAsia="宋体" w:cs="宋体"/>
          <w:color w:val="000000"/>
          <w:sz w:val="21"/>
          <w:highlight w:val="none"/>
        </w:rPr>
        <w:t>中空玻璃窗、塑钢单层玻璃窗、其他。</w:t>
      </w:r>
    </w:p>
    <w:p w14:paraId="7EE7A07D">
      <w:pPr>
        <w:ind w:firstLine="420" w:firstLineChars="200"/>
        <w:rPr>
          <w:highlight w:val="none"/>
        </w:rPr>
      </w:pPr>
      <w:r>
        <w:rPr>
          <w:rFonts w:ascii="宋体" w:hAnsi="宋体" w:eastAsia="宋体" w:cs="宋体"/>
          <w:color w:val="000000"/>
          <w:sz w:val="21"/>
          <w:highlight w:val="none"/>
        </w:rPr>
        <w:t>三、室内采暖形式包括：散热器供暖、地面辐射供暖、其他。</w:t>
      </w:r>
    </w:p>
    <w:p w14:paraId="0E10F936">
      <w:pPr>
        <w:ind w:firstLine="420" w:firstLineChars="200"/>
        <w:rPr>
          <w:highlight w:val="none"/>
        </w:rPr>
      </w:pPr>
      <w:r>
        <w:rPr>
          <w:rFonts w:ascii="宋体" w:hAnsi="宋体" w:eastAsia="宋体" w:cs="宋体"/>
          <w:color w:val="000000"/>
          <w:sz w:val="21"/>
          <w:highlight w:val="none"/>
        </w:rPr>
        <w:t>四、热计量方式包括：户用热计量表法、热分配计法、温度法、楼栋热量表法、其他。</w:t>
      </w:r>
    </w:p>
    <w:p w14:paraId="0F1FC5D4">
      <w:pPr>
        <w:ind w:firstLine="420" w:firstLineChars="200"/>
        <w:rPr>
          <w:highlight w:val="none"/>
        </w:rPr>
      </w:pPr>
      <w:r>
        <w:rPr>
          <w:rFonts w:ascii="宋体" w:hAnsi="宋体" w:eastAsia="宋体" w:cs="宋体"/>
          <w:color w:val="000000"/>
          <w:sz w:val="21"/>
          <w:highlight w:val="none"/>
        </w:rPr>
        <w:t>五、系统调节装置包括：静态水力平衡阀、自力式压差控制阀、散热器恒温阀、其他。</w:t>
      </w:r>
    </w:p>
    <w:p w14:paraId="2DDF8E62">
      <w:pPr>
        <w:ind w:firstLine="420" w:firstLineChars="200"/>
        <w:rPr>
          <w:highlight w:val="none"/>
        </w:rPr>
      </w:pPr>
      <w:r>
        <w:rPr>
          <w:rFonts w:ascii="宋体" w:hAnsi="宋体" w:eastAsia="宋体" w:cs="宋体"/>
          <w:color w:val="000000"/>
          <w:sz w:val="21"/>
          <w:highlight w:val="none"/>
        </w:rPr>
        <w:t>六、空调冷热源类型包括：压缩式冷水（热泵）机组、吸收式冷水机组、分体式房间空调器、多联机、区域集中供冷、独立冷热源集中供冷、其他。</w:t>
      </w:r>
    </w:p>
    <w:p w14:paraId="1062E6C6">
      <w:pPr>
        <w:ind w:firstLine="420" w:firstLineChars="200"/>
        <w:rPr>
          <w:highlight w:val="none"/>
        </w:rPr>
      </w:pPr>
      <w:r>
        <w:rPr>
          <w:rFonts w:ascii="宋体" w:hAnsi="宋体" w:eastAsia="宋体" w:cs="宋体"/>
          <w:color w:val="000000"/>
          <w:sz w:val="21"/>
          <w:highlight w:val="none"/>
        </w:rPr>
        <w:t>七、热水供应方式包括：集中式、分散式。</w:t>
      </w:r>
    </w:p>
    <w:p w14:paraId="66271197">
      <w:pPr>
        <w:ind w:firstLine="420" w:firstLineChars="200"/>
        <w:rPr>
          <w:highlight w:val="none"/>
        </w:rPr>
      </w:pPr>
      <w:r>
        <w:rPr>
          <w:rFonts w:ascii="宋体" w:hAnsi="宋体" w:eastAsia="宋体" w:cs="宋体"/>
          <w:color w:val="000000"/>
          <w:sz w:val="21"/>
          <w:highlight w:val="none"/>
        </w:rPr>
        <w:t>八、热水利用用能类型包括：电、燃气、太阳能、蒸汽、其他。</w:t>
      </w:r>
    </w:p>
    <w:p w14:paraId="2370340B">
      <w:pPr>
        <w:ind w:firstLine="420"/>
        <w:rPr>
          <w:highlight w:val="none"/>
        </w:rPr>
      </w:pPr>
      <w:r>
        <w:rPr>
          <w:rFonts w:ascii="宋体" w:hAnsi="宋体" w:eastAsia="宋体" w:cs="宋体"/>
          <w:color w:val="000000"/>
          <w:sz w:val="21"/>
          <w:highlight w:val="none"/>
        </w:rPr>
        <w:t>九、本建筑的节能率与建筑节能标准比较情况包括：优于标准规定、满足标准规定、不符合标准规定。</w:t>
      </w:r>
    </w:p>
    <w:p w14:paraId="2B9E6C9E">
      <w:pPr>
        <w:widowControl/>
        <w:jc w:val="left"/>
        <w:rPr>
          <w:rFonts w:ascii="黑体" w:hAnsi="宋体" w:eastAsia="黑体"/>
          <w:color w:val="000000" w:themeColor="text1"/>
          <w:szCs w:val="32"/>
          <w:highlight w:val="none"/>
          <w14:textFill>
            <w14:solidFill>
              <w14:schemeClr w14:val="tx1"/>
            </w14:solidFill>
          </w14:textFill>
        </w:rPr>
      </w:pPr>
    </w:p>
    <w:p w14:paraId="2B104732">
      <w:pPr>
        <w:tabs>
          <w:tab w:val="left" w:pos="644"/>
        </w:tabs>
        <w:snapToGrid w:val="0"/>
        <w:spacing w:before="156" w:beforeLines="50" w:after="156" w:afterLines="50"/>
        <w:jc w:val="left"/>
        <w:rPr>
          <w:rFonts w:ascii="黑体" w:hAnsi="宋体" w:eastAsia="黑体"/>
          <w:color w:val="000000" w:themeColor="text1"/>
          <w:szCs w:val="32"/>
          <w14:textFill>
            <w14:solidFill>
              <w14:schemeClr w14:val="tx1"/>
            </w14:solidFill>
          </w14:textFill>
        </w:rPr>
      </w:pPr>
    </w:p>
    <w:p w14:paraId="169D61B4">
      <w:pPr>
        <w:tabs>
          <w:tab w:val="left" w:pos="644"/>
        </w:tabs>
        <w:snapToGrid w:val="0"/>
        <w:spacing w:before="156" w:beforeLines="50" w:after="156" w:afterLines="50"/>
        <w:jc w:val="left"/>
        <w:rPr>
          <w:rFonts w:ascii="黑体" w:hAnsi="宋体" w:eastAsia="黑体"/>
          <w:color w:val="000000" w:themeColor="text1"/>
          <w:szCs w:val="32"/>
          <w14:textFill>
            <w14:solidFill>
              <w14:schemeClr w14:val="tx1"/>
            </w14:solidFill>
          </w14:textFill>
        </w:rPr>
      </w:pPr>
      <w:r>
        <w:rPr>
          <w:rFonts w:hint="eastAsia" w:ascii="黑体" w:hAnsi="宋体" w:eastAsia="黑体"/>
          <w:color w:val="000000" w:themeColor="text1"/>
          <w:szCs w:val="32"/>
          <w14:textFill>
            <w14:solidFill>
              <w14:schemeClr w14:val="tx1"/>
            </w14:solidFill>
          </w14:textFill>
        </w:rPr>
        <w:br w:type="page"/>
      </w:r>
    </w:p>
    <w:p w14:paraId="3B633F5A">
      <w:pPr>
        <w:tabs>
          <w:tab w:val="left" w:pos="644"/>
        </w:tabs>
        <w:snapToGrid w:val="0"/>
        <w:spacing w:before="156" w:beforeLines="50" w:after="156" w:afterLines="50"/>
        <w:jc w:val="left"/>
        <w:rPr>
          <w:rFonts w:ascii="黑体" w:hAnsi="宋体" w:eastAsia="黑体"/>
          <w:color w:val="000000" w:themeColor="text1"/>
          <w:szCs w:val="32"/>
          <w14:textFill>
            <w14:solidFill>
              <w14:schemeClr w14:val="tx1"/>
            </w14:solidFill>
          </w14:textFill>
        </w:rPr>
      </w:pPr>
      <w:r>
        <w:rPr>
          <w:rFonts w:hint="eastAsia" w:ascii="黑体" w:hAnsi="宋体" w:eastAsia="黑体"/>
          <w:color w:val="000000" w:themeColor="text1"/>
          <w:szCs w:val="32"/>
          <w14:textFill>
            <w14:solidFill>
              <w14:schemeClr w14:val="tx1"/>
            </w14:solidFill>
          </w14:textFill>
        </w:rPr>
        <w:t>附件5：</w:t>
      </w:r>
    </w:p>
    <w:p w14:paraId="34E5ECB9">
      <w:pPr>
        <w:tabs>
          <w:tab w:val="left" w:pos="644"/>
        </w:tabs>
        <w:snapToGrid w:val="0"/>
        <w:spacing w:before="156" w:beforeLines="50" w:after="156" w:afterLines="50"/>
        <w:jc w:val="center"/>
        <w:rPr>
          <w:rFonts w:ascii="黑体" w:hAnsi="宋体" w:eastAsia="黑体"/>
          <w:color w:val="000000" w:themeColor="text1"/>
          <w:szCs w:val="32"/>
          <w14:textFill>
            <w14:solidFill>
              <w14:schemeClr w14:val="tx1"/>
            </w14:solidFill>
          </w14:textFill>
        </w:rPr>
      </w:pPr>
      <w:r>
        <w:rPr>
          <w:rFonts w:hint="eastAsia" w:ascii="黑体" w:hAnsi="宋体" w:eastAsia="黑体"/>
          <w:color w:val="000000" w:themeColor="text1"/>
          <w:szCs w:val="32"/>
          <w14:textFill>
            <w14:solidFill>
              <w14:schemeClr w14:val="tx1"/>
            </w14:solidFill>
          </w14:textFill>
        </w:rPr>
        <w:t>预销售项目商品房（成品住房）买卖合同</w:t>
      </w:r>
    </w:p>
    <w:p w14:paraId="030DA1A3">
      <w:pPr>
        <w:tabs>
          <w:tab w:val="left" w:pos="5580"/>
        </w:tabs>
        <w:spacing w:line="300" w:lineRule="auto"/>
        <w:ind w:firstLine="320" w:firstLineChars="100"/>
        <w:jc w:val="left"/>
      </w:pPr>
      <w:r>
        <w:tab/>
      </w:r>
      <w:r>
        <w:rPr>
          <w:rFonts w:ascii="宋体" w:hAnsi="宋体" w:eastAsia="宋体" w:cs="宋体"/>
          <w:color w:val="000000"/>
          <w:sz w:val="24"/>
        </w:rPr>
        <w:t xml:space="preserve">  </w:t>
      </w:r>
      <w:r>
        <w:rPr>
          <w:rFonts w:ascii="宋体" w:hAnsi="宋体" w:eastAsia="宋体" w:cs="宋体"/>
          <w:color w:val="000000"/>
          <w:sz w:val="28"/>
        </w:rPr>
        <w:t>合同编号：</w:t>
      </w:r>
    </w:p>
    <w:p w14:paraId="42511805">
      <w:pPr>
        <w:spacing w:line="300" w:lineRule="auto"/>
        <w:jc w:val="left"/>
      </w:pPr>
      <w:r>
        <w:rPr>
          <w:rFonts w:ascii="宋体" w:hAnsi="宋体" w:eastAsia="宋体" w:cs="宋体"/>
          <w:color w:val="000000"/>
          <w:sz w:val="24"/>
        </w:rPr>
        <w:t> </w:t>
      </w:r>
    </w:p>
    <w:p w14:paraId="56058EAB">
      <w:pPr>
        <w:spacing w:line="300" w:lineRule="auto"/>
        <w:jc w:val="left"/>
      </w:pPr>
      <w:r>
        <w:rPr>
          <w:rFonts w:ascii="宋体" w:hAnsi="宋体" w:eastAsia="宋体" w:cs="宋体"/>
          <w:color w:val="000000"/>
          <w:sz w:val="24"/>
        </w:rPr>
        <w:t> </w:t>
      </w:r>
    </w:p>
    <w:p w14:paraId="274F84AD">
      <w:pPr>
        <w:spacing w:line="300" w:lineRule="auto"/>
        <w:jc w:val="left"/>
      </w:pPr>
      <w:r>
        <w:rPr>
          <w:rFonts w:ascii="宋体" w:hAnsi="宋体" w:eastAsia="宋体" w:cs="宋体"/>
          <w:color w:val="000000"/>
          <w:sz w:val="24"/>
        </w:rPr>
        <w:t> </w:t>
      </w:r>
    </w:p>
    <w:p w14:paraId="024B9021">
      <w:pPr>
        <w:spacing w:line="300" w:lineRule="auto"/>
        <w:ind w:firstLine="560" w:firstLineChars="100"/>
        <w:jc w:val="center"/>
      </w:pPr>
      <w:r>
        <w:rPr>
          <w:rFonts w:ascii="宋体" w:hAnsi="宋体" w:eastAsia="宋体" w:cs="宋体"/>
          <w:color w:val="000000"/>
          <w:sz w:val="56"/>
        </w:rPr>
        <w:t>商品房买卖合同（预售）</w:t>
      </w:r>
    </w:p>
    <w:p w14:paraId="0352FCFF">
      <w:pPr>
        <w:spacing w:line="300" w:lineRule="auto"/>
        <w:ind w:firstLine="320" w:firstLineChars="100"/>
      </w:pPr>
    </w:p>
    <w:p w14:paraId="7D78C7A0">
      <w:pPr>
        <w:spacing w:line="300" w:lineRule="auto"/>
        <w:jc w:val="left"/>
      </w:pPr>
      <w:r>
        <w:rPr>
          <w:rFonts w:ascii="宋体" w:hAnsi="宋体" w:eastAsia="宋体" w:cs="宋体"/>
          <w:color w:val="000000"/>
          <w:sz w:val="24"/>
        </w:rPr>
        <w:t> </w:t>
      </w:r>
    </w:p>
    <w:p w14:paraId="2A3EBEF5">
      <w:pPr>
        <w:spacing w:line="300" w:lineRule="auto"/>
        <w:jc w:val="left"/>
      </w:pPr>
      <w:r>
        <w:rPr>
          <w:rFonts w:ascii="宋体" w:hAnsi="宋体" w:eastAsia="宋体" w:cs="宋体"/>
          <w:color w:val="000000"/>
          <w:sz w:val="24"/>
        </w:rPr>
        <w:t> </w:t>
      </w:r>
    </w:p>
    <w:p w14:paraId="7F1C4E90">
      <w:pPr>
        <w:spacing w:line="300" w:lineRule="auto"/>
        <w:jc w:val="left"/>
      </w:pPr>
      <w:r>
        <w:rPr>
          <w:rFonts w:ascii="宋体" w:hAnsi="宋体" w:eastAsia="宋体" w:cs="宋体"/>
          <w:color w:val="000000"/>
          <w:sz w:val="24"/>
        </w:rPr>
        <w:t> </w:t>
      </w:r>
    </w:p>
    <w:p w14:paraId="35BA3C36">
      <w:pPr>
        <w:spacing w:line="300" w:lineRule="auto"/>
        <w:jc w:val="left"/>
      </w:pPr>
      <w:r>
        <w:rPr>
          <w:rFonts w:ascii="宋体" w:hAnsi="宋体" w:eastAsia="宋体" w:cs="宋体"/>
          <w:color w:val="000000"/>
          <w:sz w:val="24"/>
        </w:rPr>
        <w:t> </w:t>
      </w:r>
    </w:p>
    <w:p w14:paraId="742B423E">
      <w:pPr>
        <w:spacing w:line="300" w:lineRule="auto"/>
        <w:jc w:val="left"/>
      </w:pPr>
      <w:r>
        <w:rPr>
          <w:rFonts w:ascii="宋体" w:hAnsi="宋体" w:eastAsia="宋体" w:cs="宋体"/>
          <w:color w:val="000000"/>
          <w:sz w:val="24"/>
        </w:rPr>
        <w:t> </w:t>
      </w:r>
    </w:p>
    <w:p w14:paraId="541755DC">
      <w:pPr>
        <w:spacing w:line="300" w:lineRule="auto"/>
        <w:jc w:val="left"/>
      </w:pPr>
      <w:r>
        <w:rPr>
          <w:rFonts w:ascii="宋体" w:hAnsi="宋体" w:eastAsia="宋体" w:cs="宋体"/>
          <w:color w:val="000000"/>
          <w:sz w:val="24"/>
        </w:rPr>
        <w:t> </w:t>
      </w:r>
    </w:p>
    <w:p w14:paraId="7134B41E">
      <w:pPr>
        <w:spacing w:line="300" w:lineRule="auto"/>
        <w:jc w:val="left"/>
      </w:pPr>
      <w:r>
        <w:rPr>
          <w:rFonts w:ascii="宋体" w:hAnsi="宋体" w:eastAsia="宋体" w:cs="宋体"/>
          <w:color w:val="000000"/>
          <w:sz w:val="24"/>
        </w:rPr>
        <w:t> </w:t>
      </w:r>
    </w:p>
    <w:p w14:paraId="6B5EF437">
      <w:pPr>
        <w:spacing w:line="300" w:lineRule="auto"/>
        <w:ind w:firstLine="1120" w:firstLineChars="400"/>
        <w:jc w:val="left"/>
      </w:pPr>
      <w:r>
        <w:rPr>
          <w:rFonts w:ascii="宋体" w:hAnsi="宋体" w:eastAsia="宋体" w:cs="宋体"/>
          <w:color w:val="000000"/>
          <w:sz w:val="28"/>
        </w:rPr>
        <w:t>出卖人</w:t>
      </w:r>
      <w:r>
        <w:rPr>
          <w:rFonts w:ascii="宋体" w:hAnsi="宋体" w:eastAsia="宋体" w:cs="宋体"/>
          <w:color w:val="000000"/>
          <w:sz w:val="24"/>
        </w:rPr>
        <w:t>：</w:t>
      </w:r>
      <w:r>
        <w:rPr>
          <w:rFonts w:ascii="宋体" w:hAnsi="宋体" w:eastAsia="宋体" w:cs="宋体"/>
          <w:color w:val="000000"/>
          <w:sz w:val="24"/>
          <w:u w:val="single"/>
        </w:rPr>
        <w:t xml:space="preserve">      </w:t>
      </w:r>
      <w:r>
        <w:rPr>
          <w:rFonts w:ascii="宋体" w:hAnsi="宋体" w:eastAsia="宋体" w:cs="宋体"/>
          <w:color w:val="000000"/>
          <w:sz w:val="28"/>
          <w:u w:val="single"/>
        </w:rPr>
        <w:t xml:space="preserve"> </w:t>
      </w:r>
      <w:r>
        <w:rPr>
          <w:rFonts w:ascii="宋体" w:hAnsi="宋体" w:eastAsia="宋体" w:cs="宋体"/>
          <w:color w:val="000000"/>
          <w:sz w:val="24"/>
          <w:u w:val="single"/>
        </w:rPr>
        <w:t xml:space="preserve"> 无锡山水嘉泰置业有限公司              </w:t>
      </w:r>
    </w:p>
    <w:p w14:paraId="572B8FAF">
      <w:pPr>
        <w:spacing w:line="300" w:lineRule="auto"/>
        <w:ind w:firstLine="960" w:firstLineChars="400"/>
        <w:jc w:val="left"/>
      </w:pPr>
      <w:r>
        <w:rPr>
          <w:rFonts w:ascii="宋体" w:hAnsi="宋体" w:eastAsia="宋体" w:cs="宋体"/>
          <w:color w:val="000000"/>
          <w:sz w:val="24"/>
          <w:u w:val="single"/>
        </w:rPr>
        <w:t> </w:t>
      </w:r>
    </w:p>
    <w:p w14:paraId="6FEDFADA">
      <w:pPr>
        <w:spacing w:line="300" w:lineRule="auto"/>
        <w:ind w:firstLine="1120" w:firstLineChars="400"/>
        <w:jc w:val="left"/>
      </w:pPr>
      <w:r>
        <w:rPr>
          <w:rFonts w:ascii="宋体" w:hAnsi="宋体" w:eastAsia="宋体" w:cs="宋体"/>
          <w:color w:val="000000"/>
          <w:sz w:val="28"/>
        </w:rPr>
        <w:t>买受人</w:t>
      </w:r>
      <w:r>
        <w:rPr>
          <w:rFonts w:ascii="宋体" w:hAnsi="宋体" w:eastAsia="宋体" w:cs="宋体"/>
          <w:color w:val="000000"/>
          <w:sz w:val="24"/>
        </w:rPr>
        <w:t>：</w:t>
      </w:r>
      <w:r>
        <w:rPr>
          <w:rFonts w:ascii="宋体" w:hAnsi="宋体" w:eastAsia="宋体" w:cs="宋体"/>
          <w:color w:val="000000"/>
          <w:sz w:val="28"/>
          <w:u w:val="single"/>
        </w:rPr>
        <w:t xml:space="preserve">                                             </w:t>
      </w:r>
      <w:r>
        <w:rPr>
          <w:rFonts w:ascii="宋体" w:hAnsi="宋体" w:eastAsia="宋体" w:cs="宋体"/>
          <w:color w:val="000000"/>
          <w:sz w:val="24"/>
        </w:rPr>
        <w:t xml:space="preserve">   </w:t>
      </w:r>
    </w:p>
    <w:p w14:paraId="4B8C3FD2">
      <w:pPr>
        <w:spacing w:line="300" w:lineRule="auto"/>
        <w:jc w:val="center"/>
      </w:pPr>
    </w:p>
    <w:p w14:paraId="1EBF9F16">
      <w:pPr>
        <w:spacing w:line="300" w:lineRule="auto"/>
        <w:jc w:val="center"/>
      </w:pPr>
    </w:p>
    <w:p w14:paraId="2693A979">
      <w:pPr>
        <w:spacing w:line="300" w:lineRule="auto"/>
        <w:jc w:val="center"/>
      </w:pPr>
    </w:p>
    <w:p w14:paraId="3EC3F6F8">
      <w:pPr>
        <w:spacing w:line="300" w:lineRule="auto"/>
        <w:jc w:val="center"/>
      </w:pPr>
    </w:p>
    <w:p w14:paraId="147AF3B9">
      <w:pPr>
        <w:spacing w:line="300" w:lineRule="auto"/>
        <w:jc w:val="center"/>
      </w:pPr>
    </w:p>
    <w:p w14:paraId="4463E87B">
      <w:pPr>
        <w:spacing w:line="300" w:lineRule="auto"/>
        <w:jc w:val="center"/>
      </w:pPr>
    </w:p>
    <w:p w14:paraId="7836B602">
      <w:pPr>
        <w:spacing w:line="300" w:lineRule="auto"/>
        <w:jc w:val="center"/>
      </w:pPr>
    </w:p>
    <w:p w14:paraId="18AC6C8B">
      <w:pPr>
        <w:spacing w:line="300" w:lineRule="auto"/>
        <w:jc w:val="center"/>
      </w:pPr>
    </w:p>
    <w:p w14:paraId="0653E8E7">
      <w:pPr>
        <w:spacing w:line="300" w:lineRule="auto"/>
        <w:jc w:val="center"/>
      </w:pPr>
    </w:p>
    <w:p w14:paraId="3CB1DBA0">
      <w:pPr>
        <w:spacing w:line="300" w:lineRule="auto"/>
        <w:jc w:val="center"/>
      </w:pPr>
    </w:p>
    <w:p w14:paraId="3BA52B0E">
      <w:pPr>
        <w:spacing w:line="300" w:lineRule="auto"/>
        <w:jc w:val="center"/>
      </w:pPr>
      <w:r>
        <w:rPr>
          <w:rFonts w:ascii="宋体" w:hAnsi="宋体" w:eastAsia="宋体" w:cs="宋体"/>
          <w:b/>
          <w:color w:val="000000"/>
          <w:sz w:val="40"/>
        </w:rPr>
        <w:t>目    录</w:t>
      </w:r>
    </w:p>
    <w:p w14:paraId="1476F903">
      <w:pPr>
        <w:spacing w:line="300" w:lineRule="auto"/>
        <w:jc w:val="left"/>
      </w:pPr>
      <w:r>
        <w:rPr>
          <w:rFonts w:ascii="宋体" w:hAnsi="宋体" w:eastAsia="宋体" w:cs="宋体"/>
          <w:color w:val="000000"/>
          <w:sz w:val="24"/>
        </w:rPr>
        <w:t> </w:t>
      </w:r>
    </w:p>
    <w:p w14:paraId="6712D516">
      <w:pPr>
        <w:spacing w:line="300" w:lineRule="auto"/>
        <w:jc w:val="left"/>
      </w:pPr>
      <w:r>
        <w:rPr>
          <w:rFonts w:ascii="宋体" w:hAnsi="宋体" w:eastAsia="宋体" w:cs="宋体"/>
          <w:color w:val="000000"/>
          <w:sz w:val="24"/>
        </w:rPr>
        <w:t> </w:t>
      </w:r>
    </w:p>
    <w:p w14:paraId="3293EAB6">
      <w:pPr>
        <w:spacing w:line="300" w:lineRule="auto"/>
        <w:ind w:right="2860"/>
        <w:jc w:val="left"/>
      </w:pPr>
      <w:r>
        <w:rPr>
          <w:rFonts w:ascii="宋体" w:hAnsi="宋体" w:eastAsia="宋体" w:cs="宋体"/>
          <w:color w:val="000000"/>
          <w:sz w:val="28"/>
        </w:rPr>
        <w:t xml:space="preserve">说 明 </w:t>
      </w:r>
    </w:p>
    <w:p w14:paraId="203E6341">
      <w:pPr>
        <w:spacing w:line="300" w:lineRule="auto"/>
        <w:ind w:right="2860"/>
        <w:jc w:val="left"/>
      </w:pPr>
      <w:r>
        <w:rPr>
          <w:rFonts w:ascii="宋体" w:hAnsi="宋体" w:eastAsia="宋体" w:cs="宋体"/>
          <w:color w:val="000000"/>
          <w:sz w:val="28"/>
        </w:rPr>
        <w:t xml:space="preserve">专业术语解释 </w:t>
      </w:r>
    </w:p>
    <w:p w14:paraId="5041512D">
      <w:pPr>
        <w:spacing w:line="300" w:lineRule="auto"/>
        <w:ind w:right="2860"/>
        <w:jc w:val="left"/>
      </w:pPr>
      <w:r>
        <w:rPr>
          <w:rFonts w:ascii="宋体" w:hAnsi="宋体" w:eastAsia="宋体" w:cs="宋体"/>
          <w:color w:val="000000"/>
          <w:sz w:val="28"/>
        </w:rPr>
        <w:t>第一章 合同当事人</w:t>
      </w:r>
    </w:p>
    <w:p w14:paraId="5E7D7A8A">
      <w:pPr>
        <w:spacing w:line="300" w:lineRule="auto"/>
        <w:ind w:right="2300"/>
        <w:jc w:val="left"/>
      </w:pPr>
      <w:r>
        <w:rPr>
          <w:rFonts w:ascii="宋体" w:hAnsi="宋体" w:eastAsia="宋体" w:cs="宋体"/>
          <w:color w:val="000000"/>
          <w:sz w:val="28"/>
        </w:rPr>
        <w:t>第二章 商品房基本状况</w:t>
      </w:r>
    </w:p>
    <w:p w14:paraId="188D9F5A">
      <w:pPr>
        <w:spacing w:line="300" w:lineRule="auto"/>
        <w:ind w:right="2300"/>
        <w:jc w:val="left"/>
      </w:pPr>
      <w:r>
        <w:rPr>
          <w:rFonts w:ascii="宋体" w:hAnsi="宋体" w:eastAsia="宋体" w:cs="宋体"/>
          <w:color w:val="000000"/>
          <w:sz w:val="28"/>
        </w:rPr>
        <w:t>第三章 商品房价款</w:t>
      </w:r>
    </w:p>
    <w:p w14:paraId="7D2E90F0">
      <w:pPr>
        <w:spacing w:line="300" w:lineRule="auto"/>
        <w:ind w:right="900"/>
        <w:jc w:val="left"/>
      </w:pPr>
      <w:r>
        <w:rPr>
          <w:rFonts w:ascii="宋体" w:hAnsi="宋体" w:eastAsia="宋体" w:cs="宋体"/>
          <w:color w:val="000000"/>
          <w:sz w:val="28"/>
        </w:rPr>
        <w:t xml:space="preserve">第四章 商品房交付条件与交付手续 </w:t>
      </w:r>
    </w:p>
    <w:p w14:paraId="7BEC13B9">
      <w:pPr>
        <w:spacing w:line="300" w:lineRule="auto"/>
        <w:ind w:right="900"/>
        <w:jc w:val="left"/>
      </w:pPr>
      <w:r>
        <w:rPr>
          <w:rFonts w:ascii="宋体" w:hAnsi="宋体" w:eastAsia="宋体" w:cs="宋体"/>
          <w:color w:val="000000"/>
          <w:sz w:val="28"/>
        </w:rPr>
        <w:t xml:space="preserve">第五章 面积差异处理方式 </w:t>
      </w:r>
    </w:p>
    <w:p w14:paraId="1AFC6C5B">
      <w:pPr>
        <w:spacing w:line="300" w:lineRule="auto"/>
        <w:ind w:right="900"/>
        <w:jc w:val="left"/>
      </w:pPr>
      <w:r>
        <w:rPr>
          <w:rFonts w:ascii="宋体" w:hAnsi="宋体" w:eastAsia="宋体" w:cs="宋体"/>
          <w:color w:val="000000"/>
          <w:sz w:val="28"/>
        </w:rPr>
        <w:t xml:space="preserve">第六章 规划设计变更 </w:t>
      </w:r>
    </w:p>
    <w:p w14:paraId="26CDA78E">
      <w:pPr>
        <w:spacing w:line="300" w:lineRule="auto"/>
        <w:ind w:right="900"/>
        <w:jc w:val="left"/>
      </w:pPr>
      <w:r>
        <w:rPr>
          <w:rFonts w:ascii="宋体" w:hAnsi="宋体" w:eastAsia="宋体" w:cs="宋体"/>
          <w:color w:val="000000"/>
          <w:sz w:val="28"/>
        </w:rPr>
        <w:t xml:space="preserve">第七章 商品房质量及保修责任 </w:t>
      </w:r>
    </w:p>
    <w:p w14:paraId="50E68552">
      <w:pPr>
        <w:spacing w:line="300" w:lineRule="auto"/>
        <w:ind w:right="900"/>
        <w:jc w:val="left"/>
      </w:pPr>
      <w:r>
        <w:rPr>
          <w:rFonts w:ascii="宋体" w:hAnsi="宋体" w:eastAsia="宋体" w:cs="宋体"/>
          <w:color w:val="000000"/>
          <w:sz w:val="28"/>
        </w:rPr>
        <w:t xml:space="preserve">第八章 合同备案与房屋登记 </w:t>
      </w:r>
    </w:p>
    <w:p w14:paraId="70606CC3">
      <w:pPr>
        <w:spacing w:line="300" w:lineRule="auto"/>
        <w:ind w:right="900"/>
        <w:jc w:val="left"/>
      </w:pPr>
      <w:r>
        <w:rPr>
          <w:rFonts w:ascii="宋体" w:hAnsi="宋体" w:eastAsia="宋体" w:cs="宋体"/>
          <w:color w:val="000000"/>
          <w:sz w:val="28"/>
        </w:rPr>
        <w:t xml:space="preserve">第九章 前期物业管理 </w:t>
      </w:r>
    </w:p>
    <w:p w14:paraId="21C50B4E">
      <w:pPr>
        <w:spacing w:line="300" w:lineRule="auto"/>
        <w:jc w:val="left"/>
      </w:pPr>
      <w:r>
        <w:rPr>
          <w:rFonts w:ascii="宋体" w:hAnsi="宋体" w:eastAsia="宋体" w:cs="宋体"/>
          <w:color w:val="000000"/>
          <w:sz w:val="28"/>
        </w:rPr>
        <w:t>第十章 其他事项</w:t>
      </w:r>
    </w:p>
    <w:p w14:paraId="0E3F3CCC">
      <w:pPr>
        <w:spacing w:line="300" w:lineRule="auto"/>
        <w:jc w:val="left"/>
      </w:pPr>
      <w:r>
        <w:rPr>
          <w:rFonts w:ascii="宋体" w:hAnsi="宋体" w:eastAsia="宋体" w:cs="宋体"/>
          <w:color w:val="000000"/>
          <w:sz w:val="28"/>
        </w:rPr>
        <w:t> </w:t>
      </w:r>
    </w:p>
    <w:p w14:paraId="3567656C">
      <w:pPr>
        <w:spacing w:line="300" w:lineRule="auto"/>
        <w:jc w:val="left"/>
      </w:pPr>
      <w:r>
        <w:rPr>
          <w:rFonts w:ascii="宋体" w:hAnsi="宋体" w:eastAsia="宋体" w:cs="宋体"/>
          <w:color w:val="000000"/>
          <w:sz w:val="24"/>
        </w:rPr>
        <w:t> </w:t>
      </w:r>
    </w:p>
    <w:p w14:paraId="27F4D71F">
      <w:pPr>
        <w:spacing w:line="300" w:lineRule="auto"/>
        <w:jc w:val="left"/>
      </w:pPr>
      <w:r>
        <w:rPr>
          <w:rFonts w:ascii="宋体" w:hAnsi="宋体" w:eastAsia="宋体" w:cs="宋体"/>
          <w:color w:val="000000"/>
          <w:sz w:val="24"/>
        </w:rPr>
        <w:t> </w:t>
      </w:r>
    </w:p>
    <w:p w14:paraId="3868457F">
      <w:pPr>
        <w:spacing w:line="300" w:lineRule="auto"/>
        <w:jc w:val="left"/>
      </w:pPr>
      <w:r>
        <w:rPr>
          <w:rFonts w:ascii="宋体" w:hAnsi="宋体" w:eastAsia="宋体" w:cs="宋体"/>
          <w:color w:val="000000"/>
          <w:sz w:val="24"/>
        </w:rPr>
        <w:t> </w:t>
      </w:r>
    </w:p>
    <w:p w14:paraId="4B926B59">
      <w:pPr>
        <w:spacing w:line="300" w:lineRule="auto"/>
        <w:jc w:val="left"/>
      </w:pPr>
      <w:r>
        <w:rPr>
          <w:rFonts w:ascii="宋体" w:hAnsi="宋体" w:eastAsia="宋体" w:cs="宋体"/>
          <w:color w:val="000000"/>
          <w:sz w:val="24"/>
        </w:rPr>
        <w:t> </w:t>
      </w:r>
    </w:p>
    <w:p w14:paraId="47B779E0">
      <w:pPr>
        <w:spacing w:line="300" w:lineRule="auto"/>
        <w:jc w:val="left"/>
      </w:pPr>
      <w:r>
        <w:rPr>
          <w:rFonts w:ascii="宋体" w:hAnsi="宋体" w:eastAsia="宋体" w:cs="宋体"/>
          <w:color w:val="000000"/>
          <w:sz w:val="24"/>
        </w:rPr>
        <w:t> </w:t>
      </w:r>
    </w:p>
    <w:p w14:paraId="174682C1">
      <w:pPr>
        <w:spacing w:line="300" w:lineRule="auto"/>
        <w:jc w:val="left"/>
        <w:rPr>
          <w:rFonts w:ascii="宋体" w:hAnsi="宋体" w:eastAsia="宋体" w:cs="宋体"/>
          <w:color w:val="000000"/>
          <w:sz w:val="24"/>
        </w:rPr>
      </w:pPr>
      <w:r>
        <w:rPr>
          <w:rFonts w:ascii="宋体" w:hAnsi="宋体" w:eastAsia="宋体" w:cs="宋体"/>
          <w:color w:val="000000"/>
          <w:sz w:val="24"/>
        </w:rPr>
        <w:t> </w:t>
      </w:r>
    </w:p>
    <w:p w14:paraId="642E243A">
      <w:pPr>
        <w:spacing w:line="300" w:lineRule="auto"/>
        <w:jc w:val="left"/>
        <w:rPr>
          <w:rFonts w:ascii="宋体" w:hAnsi="宋体" w:eastAsia="宋体" w:cs="宋体"/>
          <w:color w:val="000000"/>
          <w:sz w:val="24"/>
        </w:rPr>
      </w:pPr>
    </w:p>
    <w:p w14:paraId="452CBDF8">
      <w:pPr>
        <w:spacing w:line="300" w:lineRule="auto"/>
        <w:jc w:val="left"/>
        <w:rPr>
          <w:rFonts w:ascii="宋体" w:hAnsi="宋体" w:eastAsia="宋体" w:cs="宋体"/>
          <w:color w:val="000000"/>
          <w:sz w:val="24"/>
        </w:rPr>
      </w:pPr>
    </w:p>
    <w:p w14:paraId="2B6FA255">
      <w:pPr>
        <w:spacing w:line="300" w:lineRule="auto"/>
        <w:jc w:val="left"/>
        <w:rPr>
          <w:rFonts w:ascii="宋体" w:hAnsi="宋体" w:eastAsia="宋体" w:cs="宋体"/>
          <w:color w:val="000000"/>
          <w:sz w:val="24"/>
        </w:rPr>
      </w:pPr>
    </w:p>
    <w:p w14:paraId="472DCD63">
      <w:pPr>
        <w:spacing w:line="300" w:lineRule="auto"/>
        <w:jc w:val="left"/>
        <w:rPr>
          <w:rFonts w:ascii="宋体" w:hAnsi="宋体" w:eastAsia="宋体" w:cs="宋体"/>
          <w:color w:val="000000"/>
          <w:sz w:val="24"/>
        </w:rPr>
      </w:pPr>
    </w:p>
    <w:p w14:paraId="69B6163F">
      <w:pPr>
        <w:spacing w:line="300" w:lineRule="auto"/>
        <w:jc w:val="left"/>
      </w:pPr>
    </w:p>
    <w:p w14:paraId="55216EC3">
      <w:pPr>
        <w:spacing w:line="300" w:lineRule="auto"/>
        <w:jc w:val="left"/>
      </w:pPr>
    </w:p>
    <w:p w14:paraId="03E283B8">
      <w:pPr>
        <w:tabs>
          <w:tab w:val="left" w:pos="4963"/>
        </w:tabs>
        <w:spacing w:line="300" w:lineRule="auto"/>
        <w:ind w:firstLine="3600" w:firstLineChars="900"/>
      </w:pPr>
      <w:r>
        <w:rPr>
          <w:rFonts w:ascii="宋体" w:hAnsi="宋体" w:eastAsia="宋体" w:cs="宋体"/>
          <w:color w:val="000000"/>
          <w:sz w:val="40"/>
        </w:rPr>
        <w:t>说     明</w:t>
      </w:r>
    </w:p>
    <w:p w14:paraId="67001E34">
      <w:pPr>
        <w:spacing w:line="300" w:lineRule="auto"/>
        <w:jc w:val="left"/>
      </w:pPr>
      <w:r>
        <w:rPr>
          <w:rFonts w:ascii="宋体" w:hAnsi="宋体" w:eastAsia="宋体" w:cs="宋体"/>
          <w:color w:val="000000"/>
          <w:sz w:val="24"/>
        </w:rPr>
        <w:t> </w:t>
      </w:r>
    </w:p>
    <w:p w14:paraId="4EAE3076">
      <w:pPr>
        <w:tabs>
          <w:tab w:val="left" w:pos="914"/>
        </w:tabs>
        <w:spacing w:line="300" w:lineRule="auto"/>
        <w:ind w:left="3" w:right="140" w:firstLine="557"/>
      </w:pPr>
      <w:r>
        <w:rPr>
          <w:rFonts w:ascii="宋体" w:hAnsi="宋体" w:eastAsia="宋体" w:cs="宋体"/>
          <w:color w:val="000000"/>
          <w:sz w:val="28"/>
        </w:rPr>
        <w:t xml:space="preserve">1.本合同文本为示范文本，由中华人民共和国住房和城乡建设部、中华人民共和国国家工商行政管理总局共同制定。各地可在有关法律法规、规定的范围内，结合实际情况调整合同相应内容。 </w:t>
      </w:r>
    </w:p>
    <w:p w14:paraId="6ECBB8E6">
      <w:pPr>
        <w:tabs>
          <w:tab w:val="left" w:pos="914"/>
        </w:tabs>
        <w:spacing w:line="300" w:lineRule="auto"/>
        <w:ind w:left="3" w:right="140" w:firstLine="557"/>
      </w:pPr>
      <w:r>
        <w:rPr>
          <w:rFonts w:ascii="宋体" w:hAnsi="宋体" w:eastAsia="宋体" w:cs="宋体"/>
          <w:color w:val="000000"/>
          <w:sz w:val="28"/>
        </w:rPr>
        <w:t xml:space="preserve">2.签订本合同前，出卖人应当向买受人出示《商品房预售许可证》及其他有关证书和证明文件。 </w:t>
      </w:r>
    </w:p>
    <w:p w14:paraId="420BBEBD">
      <w:pPr>
        <w:tabs>
          <w:tab w:val="left" w:pos="914"/>
        </w:tabs>
        <w:spacing w:line="300" w:lineRule="auto"/>
        <w:ind w:left="3" w:right="140" w:firstLine="557"/>
      </w:pPr>
      <w:r>
        <w:rPr>
          <w:rFonts w:ascii="宋体" w:hAnsi="宋体" w:eastAsia="宋体" w:cs="宋体"/>
          <w:color w:val="000000"/>
          <w:sz w:val="28"/>
        </w:rPr>
        <w:t xml:space="preserve">3.出卖人应当就合同重大事项对买受人尽到提示义务。买受人应当审慎签订合同，在签订本合同前，要仔细阅读合同条款，特别是审阅其中具有选择性、补充性、修改性的内容，注意防范潜在的市场风险和交易风险。 </w:t>
      </w:r>
    </w:p>
    <w:p w14:paraId="7DE19E34">
      <w:pPr>
        <w:tabs>
          <w:tab w:val="left" w:pos="919"/>
        </w:tabs>
        <w:spacing w:line="300" w:lineRule="auto"/>
        <w:ind w:left="3" w:right="140" w:firstLine="557"/>
      </w:pPr>
      <w:r>
        <w:rPr>
          <w:rFonts w:ascii="宋体" w:hAnsi="宋体" w:eastAsia="宋体" w:cs="宋体"/>
          <w:color w:val="000000"/>
          <w:sz w:val="28"/>
        </w:rPr>
        <w:t xml:space="preserve">4.本合同文本【】中选择内容、空格部位填写内容及其他需要删除或添加的内容，双方当事人应当协商确定。【】中选择内容，以划√方式选定；对于实际情况未发生或双方当事人不作约定时，应当在空格部位打/，以示删除。 </w:t>
      </w:r>
    </w:p>
    <w:p w14:paraId="0F124AFA">
      <w:pPr>
        <w:tabs>
          <w:tab w:val="left" w:pos="914"/>
        </w:tabs>
        <w:spacing w:line="300" w:lineRule="auto"/>
        <w:ind w:left="3" w:firstLine="557"/>
      </w:pPr>
      <w:r>
        <w:rPr>
          <w:rFonts w:ascii="宋体" w:hAnsi="宋体" w:eastAsia="宋体" w:cs="宋体"/>
          <w:color w:val="000000"/>
          <w:sz w:val="28"/>
        </w:rPr>
        <w:t xml:space="preserve">5.出卖人与买受人可以针对本合同文本中没有约定或者约定不明确的内容，根据所售项目的具体情况在相关条款后的空白行中进行补充约定，也可以另行签订补充协议。 </w:t>
      </w:r>
    </w:p>
    <w:p w14:paraId="5725FBDC">
      <w:pPr>
        <w:tabs>
          <w:tab w:val="left" w:pos="914"/>
        </w:tabs>
        <w:spacing w:line="300" w:lineRule="auto"/>
        <w:ind w:left="3" w:right="140" w:firstLine="557"/>
      </w:pPr>
      <w:r>
        <w:rPr>
          <w:rFonts w:ascii="宋体" w:hAnsi="宋体" w:eastAsia="宋体" w:cs="宋体"/>
          <w:color w:val="000000"/>
          <w:sz w:val="28"/>
        </w:rPr>
        <w:t xml:space="preserve">6.双方当事人可以根据实际情况决定本合同原件的份数，并在签订合同时认真核对，以确保各份合同内容一致；在任何情况下，出卖人和买受人都应当至少持有一份合同原件。 </w:t>
      </w:r>
    </w:p>
    <w:p w14:paraId="10B37680">
      <w:pPr>
        <w:spacing w:line="300" w:lineRule="auto"/>
        <w:jc w:val="left"/>
      </w:pPr>
      <w:r>
        <w:rPr>
          <w:rFonts w:ascii="宋体" w:hAnsi="宋体" w:eastAsia="宋体" w:cs="宋体"/>
          <w:color w:val="000000"/>
          <w:sz w:val="24"/>
        </w:rPr>
        <w:t> </w:t>
      </w:r>
    </w:p>
    <w:p w14:paraId="467B4112">
      <w:pPr>
        <w:spacing w:line="300" w:lineRule="auto"/>
        <w:jc w:val="left"/>
      </w:pPr>
      <w:r>
        <w:rPr>
          <w:rFonts w:ascii="宋体" w:hAnsi="宋体" w:eastAsia="宋体" w:cs="宋体"/>
          <w:color w:val="000000"/>
          <w:sz w:val="24"/>
        </w:rPr>
        <w:t> </w:t>
      </w:r>
    </w:p>
    <w:p w14:paraId="4694325B">
      <w:pPr>
        <w:spacing w:line="300" w:lineRule="auto"/>
        <w:jc w:val="left"/>
      </w:pPr>
    </w:p>
    <w:p w14:paraId="0C5BE45C">
      <w:pPr>
        <w:spacing w:line="300" w:lineRule="auto"/>
        <w:jc w:val="left"/>
      </w:pPr>
    </w:p>
    <w:p w14:paraId="2DFD9C7C">
      <w:pPr>
        <w:spacing w:line="300" w:lineRule="auto"/>
        <w:jc w:val="left"/>
      </w:pPr>
    </w:p>
    <w:p w14:paraId="60B5F704">
      <w:pPr>
        <w:spacing w:line="300" w:lineRule="auto"/>
        <w:jc w:val="left"/>
      </w:pPr>
    </w:p>
    <w:p w14:paraId="23AD9890">
      <w:pPr>
        <w:spacing w:line="300" w:lineRule="auto"/>
        <w:ind w:left="3280"/>
        <w:jc w:val="left"/>
      </w:pPr>
      <w:r>
        <w:rPr>
          <w:rFonts w:ascii="宋体" w:hAnsi="宋体" w:eastAsia="宋体" w:cs="宋体"/>
          <w:color w:val="000000"/>
          <w:sz w:val="40"/>
        </w:rPr>
        <w:t>专业术语解释</w:t>
      </w:r>
    </w:p>
    <w:p w14:paraId="3EDAC002">
      <w:pPr>
        <w:spacing w:line="300" w:lineRule="auto"/>
        <w:jc w:val="left"/>
      </w:pPr>
      <w:r>
        <w:rPr>
          <w:rFonts w:ascii="宋体" w:hAnsi="宋体" w:eastAsia="宋体" w:cs="宋体"/>
          <w:color w:val="000000"/>
          <w:sz w:val="24"/>
        </w:rPr>
        <w:t> </w:t>
      </w:r>
    </w:p>
    <w:p w14:paraId="4FEC56C8">
      <w:pPr>
        <w:tabs>
          <w:tab w:val="left" w:pos="787"/>
        </w:tabs>
        <w:spacing w:line="300" w:lineRule="auto"/>
        <w:ind w:right="20" w:firstLine="477"/>
      </w:pPr>
      <w:r>
        <w:rPr>
          <w:rFonts w:ascii="宋体" w:hAnsi="宋体" w:eastAsia="宋体" w:cs="宋体"/>
          <w:color w:val="000000"/>
          <w:sz w:val="24"/>
        </w:rPr>
        <w:t xml:space="preserve">1.商品房预售：是指房地产开发企业将正在建设中的取得《商品房预售许可证》的商品房预先出售给买受人，并由买受人支付定金或房价款的行为。 </w:t>
      </w:r>
    </w:p>
    <w:p w14:paraId="599CAC46">
      <w:pPr>
        <w:tabs>
          <w:tab w:val="left" w:pos="780"/>
        </w:tabs>
        <w:spacing w:line="300" w:lineRule="auto"/>
        <w:ind w:left="780" w:hanging="303"/>
      </w:pPr>
      <w:r>
        <w:rPr>
          <w:rFonts w:ascii="宋体" w:hAnsi="宋体" w:eastAsia="宋体" w:cs="宋体"/>
          <w:color w:val="000000"/>
          <w:sz w:val="24"/>
        </w:rPr>
        <w:t xml:space="preserve">2.法定代理人：是指依照法律规定直接取得代理权的人。 </w:t>
      </w:r>
    </w:p>
    <w:p w14:paraId="1EEF8ABC">
      <w:pPr>
        <w:tabs>
          <w:tab w:val="left" w:pos="784"/>
        </w:tabs>
        <w:spacing w:line="300" w:lineRule="auto"/>
        <w:ind w:right="120" w:firstLine="477"/>
      </w:pPr>
      <w:r>
        <w:rPr>
          <w:rFonts w:ascii="宋体" w:hAnsi="宋体" w:eastAsia="宋体" w:cs="宋体"/>
          <w:color w:val="000000"/>
          <w:sz w:val="24"/>
        </w:rPr>
        <w:t xml:space="preserve">3.套内建筑面积：是指成套房屋的套内建筑面积，由套内使用面积、套内墙体面积、套内阳台建筑面积三部分组成。 </w:t>
      </w:r>
    </w:p>
    <w:p w14:paraId="7E1F8613">
      <w:pPr>
        <w:tabs>
          <w:tab w:val="left" w:pos="784"/>
        </w:tabs>
        <w:spacing w:line="300" w:lineRule="auto"/>
        <w:ind w:right="120" w:firstLine="477"/>
      </w:pPr>
      <w:r>
        <w:rPr>
          <w:rFonts w:ascii="宋体" w:hAnsi="宋体" w:eastAsia="宋体" w:cs="宋体"/>
          <w:color w:val="000000"/>
          <w:sz w:val="24"/>
        </w:rPr>
        <w:t>4.房屋的建筑面积：是指房屋外墙（柱）勒脚以上各层的外围水平投影面积，包括阳台、挑廊、地下室、室外楼梯等，且具备有上盖，结构牢固，层高2.20M以上（含 2.20M）的永久性建筑。</w:t>
      </w:r>
    </w:p>
    <w:p w14:paraId="2D4428FC">
      <w:pPr>
        <w:tabs>
          <w:tab w:val="left" w:pos="780"/>
        </w:tabs>
        <w:spacing w:line="300" w:lineRule="auto"/>
        <w:ind w:left="780" w:hanging="303"/>
      </w:pPr>
      <w:r>
        <w:rPr>
          <w:rFonts w:ascii="宋体" w:hAnsi="宋体" w:eastAsia="宋体" w:cs="宋体"/>
          <w:color w:val="000000"/>
          <w:sz w:val="24"/>
        </w:rPr>
        <w:t xml:space="preserve">5.不可抗力：是指不能预见、不能避免并不能克服的客观情况。 </w:t>
      </w:r>
    </w:p>
    <w:p w14:paraId="52358FA7">
      <w:pPr>
        <w:tabs>
          <w:tab w:val="left" w:pos="784"/>
        </w:tabs>
        <w:spacing w:line="300" w:lineRule="auto"/>
        <w:ind w:right="120" w:firstLine="477"/>
      </w:pPr>
      <w:r>
        <w:rPr>
          <w:rFonts w:ascii="宋体" w:hAnsi="宋体" w:eastAsia="宋体" w:cs="宋体"/>
          <w:color w:val="000000"/>
          <w:sz w:val="24"/>
        </w:rPr>
        <w:t xml:space="preserve">6.民用建筑节能：是指在保证民用建筑使用功能和室内热环境质量的前提下，降低其使用过程中能源消耗的活动。民用建筑是指居住建筑、国家机关办公建筑和商业、服务业、教育、卫生等其他公共建筑。 </w:t>
      </w:r>
    </w:p>
    <w:p w14:paraId="1B0F51D2">
      <w:pPr>
        <w:tabs>
          <w:tab w:val="left" w:pos="784"/>
        </w:tabs>
        <w:spacing w:line="300" w:lineRule="auto"/>
        <w:ind w:right="120" w:firstLine="477"/>
      </w:pPr>
      <w:r>
        <w:rPr>
          <w:rFonts w:ascii="宋体" w:hAnsi="宋体" w:eastAsia="宋体" w:cs="宋体"/>
          <w:color w:val="000000"/>
          <w:sz w:val="24"/>
        </w:rPr>
        <w:t xml:space="preserve">7.房屋登记：是指房屋登记机构依法将房屋权利和其他应当记载的事项在房屋登记簿上予以记载的行为。 </w:t>
      </w:r>
    </w:p>
    <w:p w14:paraId="678D8346">
      <w:pPr>
        <w:tabs>
          <w:tab w:val="left" w:pos="780"/>
        </w:tabs>
        <w:spacing w:line="300" w:lineRule="auto"/>
        <w:ind w:left="780" w:hanging="303"/>
      </w:pPr>
      <w:r>
        <w:rPr>
          <w:rFonts w:ascii="宋体" w:hAnsi="宋体" w:eastAsia="宋体" w:cs="宋体"/>
          <w:color w:val="000000"/>
          <w:sz w:val="24"/>
        </w:rPr>
        <w:t>8.所有权转移登记：是指商品房所有权从出卖人转移至买受人所办理的登记类</w:t>
      </w:r>
    </w:p>
    <w:p w14:paraId="094B7125">
      <w:pPr>
        <w:tabs>
          <w:tab w:val="left" w:pos="780"/>
        </w:tabs>
        <w:spacing w:line="300" w:lineRule="auto"/>
      </w:pPr>
      <w:r>
        <w:rPr>
          <w:rFonts w:ascii="宋体" w:hAnsi="宋体" w:eastAsia="宋体" w:cs="宋体"/>
          <w:color w:val="000000"/>
          <w:sz w:val="24"/>
        </w:rPr>
        <w:t xml:space="preserve">型。 </w:t>
      </w:r>
    </w:p>
    <w:p w14:paraId="0F8C7D9E">
      <w:pPr>
        <w:tabs>
          <w:tab w:val="left" w:pos="784"/>
        </w:tabs>
        <w:spacing w:line="300" w:lineRule="auto"/>
        <w:ind w:right="120" w:firstLine="477"/>
      </w:pPr>
      <w:r>
        <w:rPr>
          <w:rFonts w:ascii="宋体" w:hAnsi="宋体" w:eastAsia="宋体" w:cs="宋体"/>
          <w:color w:val="000000"/>
          <w:sz w:val="24"/>
        </w:rPr>
        <w:t xml:space="preserve">9.房屋登记机构：是指直辖市、市、县人民政府建设（房地产）主管部门或者其设置的负责房屋登记工作的机构。 </w:t>
      </w:r>
    </w:p>
    <w:p w14:paraId="58704918">
      <w:pPr>
        <w:tabs>
          <w:tab w:val="left" w:pos="900"/>
        </w:tabs>
        <w:spacing w:line="300" w:lineRule="auto"/>
        <w:ind w:right="120" w:firstLine="477"/>
      </w:pPr>
      <w:r>
        <w:rPr>
          <w:rFonts w:ascii="宋体" w:hAnsi="宋体" w:eastAsia="宋体" w:cs="宋体"/>
          <w:color w:val="000000"/>
          <w:sz w:val="24"/>
        </w:rPr>
        <w:t xml:space="preserve">10.分割拆零销售：是指房地产开发企业将成套的商品住宅分割为数部分分别出售给买受人的销售方式。 </w:t>
      </w:r>
    </w:p>
    <w:p w14:paraId="08BFD725">
      <w:pPr>
        <w:tabs>
          <w:tab w:val="left" w:pos="900"/>
        </w:tabs>
        <w:spacing w:line="300" w:lineRule="auto"/>
        <w:ind w:right="120" w:firstLine="477"/>
      </w:pPr>
      <w:r>
        <w:rPr>
          <w:rFonts w:ascii="宋体" w:hAnsi="宋体" w:eastAsia="宋体" w:cs="宋体"/>
          <w:color w:val="000000"/>
          <w:sz w:val="24"/>
        </w:rPr>
        <w:t>11.返本销售：是指房地产开发企业以定期向买受人返还购房款的方式销售商品房的行为。</w:t>
      </w:r>
    </w:p>
    <w:p w14:paraId="68C71DAC">
      <w:pPr>
        <w:tabs>
          <w:tab w:val="left" w:pos="900"/>
        </w:tabs>
        <w:spacing w:line="300" w:lineRule="auto"/>
        <w:ind w:right="120" w:firstLine="477"/>
        <w:rPr>
          <w:rFonts w:ascii="宋体" w:hAnsi="宋体" w:eastAsia="宋体" w:cs="宋体"/>
          <w:color w:val="000000"/>
          <w:sz w:val="24"/>
        </w:rPr>
      </w:pPr>
      <w:r>
        <w:rPr>
          <w:rFonts w:ascii="宋体" w:hAnsi="宋体" w:eastAsia="宋体" w:cs="宋体"/>
          <w:color w:val="000000"/>
          <w:sz w:val="24"/>
        </w:rPr>
        <w:t>12.售后包租：是指房地产开发企业以在一定期限内承租或者代为出租买受人所购该企业商品房的方式销售商品房的行为。</w:t>
      </w:r>
    </w:p>
    <w:p w14:paraId="36C8C647">
      <w:pPr>
        <w:tabs>
          <w:tab w:val="left" w:pos="900"/>
        </w:tabs>
        <w:spacing w:line="300" w:lineRule="auto"/>
        <w:ind w:right="120" w:firstLine="477"/>
        <w:rPr>
          <w:rFonts w:ascii="宋体" w:hAnsi="宋体" w:eastAsia="宋体" w:cs="宋体"/>
          <w:color w:val="000000"/>
          <w:sz w:val="24"/>
        </w:rPr>
      </w:pPr>
    </w:p>
    <w:p w14:paraId="0B03FDEA">
      <w:pPr>
        <w:tabs>
          <w:tab w:val="left" w:pos="900"/>
        </w:tabs>
        <w:spacing w:line="300" w:lineRule="auto"/>
        <w:ind w:right="120" w:firstLine="477"/>
        <w:rPr>
          <w:rFonts w:ascii="宋体" w:hAnsi="宋体" w:eastAsia="宋体" w:cs="宋体"/>
          <w:color w:val="000000"/>
          <w:sz w:val="24"/>
        </w:rPr>
      </w:pPr>
    </w:p>
    <w:p w14:paraId="5F5C5B6A">
      <w:pPr>
        <w:tabs>
          <w:tab w:val="left" w:pos="900"/>
        </w:tabs>
        <w:spacing w:line="300" w:lineRule="auto"/>
        <w:ind w:right="120" w:firstLine="477"/>
        <w:rPr>
          <w:rFonts w:ascii="宋体" w:hAnsi="宋体" w:eastAsia="宋体" w:cs="宋体"/>
          <w:color w:val="000000"/>
          <w:sz w:val="24"/>
        </w:rPr>
      </w:pPr>
    </w:p>
    <w:p w14:paraId="192291FE">
      <w:pPr>
        <w:tabs>
          <w:tab w:val="left" w:pos="900"/>
        </w:tabs>
        <w:spacing w:line="300" w:lineRule="auto"/>
        <w:ind w:right="120" w:firstLine="477"/>
        <w:rPr>
          <w:rFonts w:ascii="宋体" w:hAnsi="宋体" w:eastAsia="宋体" w:cs="宋体"/>
          <w:color w:val="000000"/>
          <w:sz w:val="24"/>
        </w:rPr>
      </w:pPr>
    </w:p>
    <w:p w14:paraId="39540040">
      <w:pPr>
        <w:tabs>
          <w:tab w:val="left" w:pos="900"/>
        </w:tabs>
        <w:spacing w:line="300" w:lineRule="auto"/>
        <w:ind w:right="120" w:firstLine="477"/>
        <w:rPr>
          <w:rFonts w:ascii="宋体" w:hAnsi="宋体" w:eastAsia="宋体" w:cs="宋体"/>
          <w:color w:val="000000"/>
          <w:sz w:val="24"/>
        </w:rPr>
      </w:pPr>
    </w:p>
    <w:p w14:paraId="39B94511">
      <w:pPr>
        <w:tabs>
          <w:tab w:val="left" w:pos="900"/>
        </w:tabs>
        <w:spacing w:line="300" w:lineRule="auto"/>
        <w:ind w:right="120" w:firstLine="477"/>
        <w:rPr>
          <w:rFonts w:ascii="宋体" w:hAnsi="宋体" w:eastAsia="宋体" w:cs="宋体"/>
          <w:color w:val="000000"/>
          <w:sz w:val="24"/>
        </w:rPr>
      </w:pPr>
    </w:p>
    <w:p w14:paraId="01814227">
      <w:pPr>
        <w:tabs>
          <w:tab w:val="left" w:pos="900"/>
        </w:tabs>
        <w:spacing w:line="300" w:lineRule="auto"/>
        <w:ind w:right="120" w:firstLine="477"/>
        <w:rPr>
          <w:rFonts w:ascii="宋体" w:hAnsi="宋体" w:eastAsia="宋体" w:cs="宋体"/>
          <w:color w:val="000000"/>
          <w:sz w:val="24"/>
        </w:rPr>
      </w:pPr>
    </w:p>
    <w:p w14:paraId="4E1CF876">
      <w:pPr>
        <w:tabs>
          <w:tab w:val="left" w:pos="900"/>
        </w:tabs>
        <w:spacing w:line="300" w:lineRule="auto"/>
        <w:ind w:right="120" w:firstLine="477"/>
        <w:rPr>
          <w:rFonts w:ascii="宋体" w:hAnsi="宋体" w:eastAsia="宋体" w:cs="宋体"/>
          <w:color w:val="000000"/>
          <w:sz w:val="24"/>
        </w:rPr>
      </w:pPr>
    </w:p>
    <w:p w14:paraId="5944E599">
      <w:pPr>
        <w:tabs>
          <w:tab w:val="left" w:pos="900"/>
        </w:tabs>
        <w:spacing w:line="300" w:lineRule="auto"/>
        <w:ind w:right="120" w:firstLine="477"/>
        <w:rPr>
          <w:rFonts w:ascii="宋体" w:hAnsi="宋体" w:eastAsia="宋体" w:cs="宋体"/>
          <w:color w:val="000000"/>
          <w:sz w:val="24"/>
        </w:rPr>
      </w:pPr>
    </w:p>
    <w:p w14:paraId="1CD0F103">
      <w:pPr>
        <w:tabs>
          <w:tab w:val="left" w:pos="900"/>
        </w:tabs>
        <w:spacing w:line="300" w:lineRule="auto"/>
        <w:ind w:right="120" w:firstLine="477"/>
        <w:rPr>
          <w:rFonts w:ascii="宋体" w:hAnsi="宋体" w:eastAsia="宋体" w:cs="宋体"/>
          <w:color w:val="000000"/>
          <w:sz w:val="24"/>
        </w:rPr>
      </w:pPr>
    </w:p>
    <w:p w14:paraId="4F90686C">
      <w:pPr>
        <w:tabs>
          <w:tab w:val="left" w:pos="900"/>
        </w:tabs>
        <w:spacing w:line="300" w:lineRule="auto"/>
        <w:ind w:right="120" w:firstLine="477"/>
        <w:rPr>
          <w:rFonts w:ascii="宋体" w:hAnsi="宋体" w:eastAsia="宋体" w:cs="宋体"/>
          <w:color w:val="000000"/>
          <w:sz w:val="24"/>
        </w:rPr>
      </w:pPr>
    </w:p>
    <w:p w14:paraId="6EC15946">
      <w:pPr>
        <w:tabs>
          <w:tab w:val="left" w:pos="900"/>
        </w:tabs>
        <w:spacing w:line="300" w:lineRule="auto"/>
        <w:ind w:right="120" w:firstLine="477"/>
        <w:rPr>
          <w:rFonts w:ascii="宋体" w:hAnsi="宋体" w:eastAsia="宋体" w:cs="宋体"/>
          <w:color w:val="000000"/>
          <w:sz w:val="24"/>
        </w:rPr>
      </w:pPr>
    </w:p>
    <w:p w14:paraId="1307EC0E">
      <w:pPr>
        <w:tabs>
          <w:tab w:val="left" w:pos="900"/>
        </w:tabs>
        <w:spacing w:line="274" w:lineRule="auto"/>
        <w:ind w:right="120"/>
        <w:jc w:val="center"/>
      </w:pPr>
    </w:p>
    <w:p w14:paraId="47CF41BB">
      <w:pPr>
        <w:tabs>
          <w:tab w:val="left" w:pos="900"/>
        </w:tabs>
        <w:spacing w:line="274" w:lineRule="auto"/>
        <w:ind w:right="120"/>
        <w:jc w:val="center"/>
      </w:pPr>
      <w:r>
        <w:rPr>
          <w:rFonts w:ascii="宋体" w:hAnsi="宋体" w:eastAsia="宋体" w:cs="宋体"/>
          <w:b/>
          <w:color w:val="000000"/>
          <w:sz w:val="40"/>
        </w:rPr>
        <w:t>商品房买卖合同</w:t>
      </w:r>
    </w:p>
    <w:p w14:paraId="7289F5D9">
      <w:pPr>
        <w:spacing w:line="300" w:lineRule="auto"/>
        <w:ind w:left="3740"/>
        <w:jc w:val="left"/>
      </w:pPr>
      <w:r>
        <w:rPr>
          <w:rFonts w:ascii="宋体" w:hAnsi="宋体" w:eastAsia="宋体" w:cs="宋体"/>
          <w:color w:val="000000"/>
          <w:sz w:val="36"/>
        </w:rPr>
        <w:t>（预 售）</w:t>
      </w:r>
    </w:p>
    <w:p w14:paraId="591308A5">
      <w:pPr>
        <w:spacing w:line="300" w:lineRule="auto"/>
        <w:ind w:firstLine="480"/>
      </w:pPr>
      <w:r>
        <w:rPr>
          <w:rFonts w:ascii="宋体" w:hAnsi="宋体" w:eastAsia="宋体" w:cs="宋体"/>
          <w:color w:val="000000"/>
          <w:sz w:val="24"/>
        </w:rPr>
        <w:t>出卖人向买受人出售其开发建设的房屋，双方当事人应当在自愿、平等、公平及诚实信用的基础上，根据《中华人民共和国民法典》、《中华人民共和国城市房地产管理法》等法律、法规的规定，就商品房买卖相关内容协商达成一致意见，签订本商品房买卖合同。</w:t>
      </w:r>
    </w:p>
    <w:p w14:paraId="1E43CF6F">
      <w:pPr>
        <w:spacing w:line="300" w:lineRule="auto"/>
        <w:ind w:left="3280"/>
        <w:jc w:val="left"/>
      </w:pPr>
      <w:r>
        <w:rPr>
          <w:rFonts w:ascii="宋体" w:hAnsi="宋体" w:eastAsia="宋体" w:cs="宋体"/>
          <w:color w:val="000000"/>
          <w:sz w:val="28"/>
        </w:rPr>
        <w:t>第一章 合同当事人</w:t>
      </w:r>
    </w:p>
    <w:p w14:paraId="1FE6F837">
      <w:pPr>
        <w:spacing w:line="300" w:lineRule="auto"/>
        <w:jc w:val="left"/>
      </w:pPr>
      <w:r>
        <w:rPr>
          <w:rFonts w:ascii="宋体" w:hAnsi="宋体" w:eastAsia="宋体" w:cs="宋体"/>
          <w:color w:val="000000"/>
          <w:sz w:val="24"/>
        </w:rPr>
        <w:t>出卖人：</w:t>
      </w:r>
      <w:r>
        <w:rPr>
          <w:rFonts w:ascii="宋体" w:hAnsi="宋体" w:eastAsia="宋体" w:cs="宋体"/>
          <w:color w:val="000000"/>
          <w:sz w:val="24"/>
          <w:u w:val="single"/>
        </w:rPr>
        <w:t xml:space="preserve">  无锡山水嘉泰置业有限公司                                                     </w:t>
      </w:r>
      <w:r>
        <w:rPr>
          <w:rFonts w:ascii="宋体" w:hAnsi="宋体" w:eastAsia="宋体" w:cs="宋体"/>
          <w:color w:val="000000"/>
          <w:sz w:val="24"/>
        </w:rPr>
        <w:t xml:space="preserve">                                                 </w:t>
      </w:r>
    </w:p>
    <w:p w14:paraId="12FB82DD">
      <w:pPr>
        <w:spacing w:line="300" w:lineRule="auto"/>
        <w:jc w:val="left"/>
      </w:pPr>
      <w:r>
        <w:rPr>
          <w:rFonts w:ascii="宋体" w:hAnsi="宋体" w:eastAsia="宋体" w:cs="宋体"/>
          <w:color w:val="000000"/>
          <w:sz w:val="24"/>
        </w:rPr>
        <w:t>通讯地址：</w:t>
      </w:r>
      <w:r>
        <w:rPr>
          <w:rFonts w:ascii="宋体" w:hAnsi="宋体" w:eastAsia="宋体" w:cs="宋体"/>
          <w:color w:val="000000"/>
          <w:sz w:val="24"/>
          <w:u w:val="single"/>
        </w:rPr>
        <w:t xml:space="preserve"> 无锡市滨湖区和风路与万顺道交叉口西南侧                                                  </w:t>
      </w:r>
    </w:p>
    <w:p w14:paraId="037181CF">
      <w:pPr>
        <w:spacing w:line="300" w:lineRule="auto"/>
        <w:jc w:val="left"/>
      </w:pPr>
      <w:r>
        <w:rPr>
          <w:rFonts w:ascii="宋体" w:hAnsi="宋体" w:eastAsia="宋体" w:cs="宋体"/>
          <w:color w:val="000000"/>
          <w:sz w:val="24"/>
        </w:rPr>
        <w:t xml:space="preserve">邮政编码： </w:t>
      </w:r>
      <w:r>
        <w:rPr>
          <w:rFonts w:ascii="宋体" w:hAnsi="宋体" w:eastAsia="宋体" w:cs="宋体"/>
          <w:color w:val="000000"/>
          <w:sz w:val="24"/>
          <w:u w:val="single"/>
        </w:rPr>
        <w:t xml:space="preserve"> 214000                                                                 </w:t>
      </w:r>
    </w:p>
    <w:p w14:paraId="0C741980">
      <w:pPr>
        <w:spacing w:line="300" w:lineRule="auto"/>
        <w:jc w:val="left"/>
      </w:pPr>
      <w:r>
        <w:rPr>
          <w:rFonts w:ascii="宋体" w:hAnsi="宋体" w:eastAsia="宋体" w:cs="宋体"/>
          <w:color w:val="000000"/>
          <w:sz w:val="24"/>
        </w:rPr>
        <w:t>营业执照注册号</w:t>
      </w:r>
      <w:r>
        <w:rPr>
          <w:rFonts w:ascii="宋体" w:hAnsi="宋体" w:eastAsia="宋体" w:cs="宋体"/>
          <w:color w:val="000000"/>
          <w:sz w:val="24"/>
          <w:u w:val="single"/>
        </w:rPr>
        <w:t xml:space="preserve">：91320211MAE2NJ685D                                                     </w:t>
      </w:r>
    </w:p>
    <w:p w14:paraId="20ACDCD3">
      <w:pPr>
        <w:spacing w:line="300" w:lineRule="auto"/>
        <w:jc w:val="left"/>
      </w:pPr>
      <w:r>
        <w:rPr>
          <w:rFonts w:ascii="宋体" w:hAnsi="宋体" w:eastAsia="宋体" w:cs="宋体"/>
          <w:color w:val="000000"/>
          <w:sz w:val="24"/>
        </w:rPr>
        <w:t>企业资质证书号：</w:t>
      </w:r>
      <w:r>
        <w:rPr>
          <w:rFonts w:ascii="宋体" w:hAnsi="宋体" w:eastAsia="宋体" w:cs="宋体"/>
          <w:color w:val="000000"/>
          <w:sz w:val="24"/>
          <w:u w:val="single"/>
        </w:rPr>
        <w:t xml:space="preserve"> 无锡KF15435                                                           </w:t>
      </w:r>
    </w:p>
    <w:p w14:paraId="7E8D3D4D">
      <w:pPr>
        <w:spacing w:line="300" w:lineRule="auto"/>
        <w:jc w:val="left"/>
      </w:pPr>
      <w:r>
        <w:rPr>
          <w:rFonts w:ascii="宋体" w:hAnsi="宋体" w:eastAsia="宋体" w:cs="宋体"/>
          <w:color w:val="000000"/>
          <w:sz w:val="24"/>
        </w:rPr>
        <w:t>法人代表人：</w:t>
      </w:r>
      <w:r>
        <w:rPr>
          <w:rFonts w:ascii="宋体" w:hAnsi="宋体" w:eastAsia="宋体" w:cs="宋体"/>
          <w:color w:val="000000"/>
          <w:sz w:val="24"/>
          <w:u w:val="single"/>
        </w:rPr>
        <w:t xml:space="preserve"> 胡仁荣                            </w:t>
      </w:r>
      <w:r>
        <w:rPr>
          <w:rFonts w:ascii="宋体" w:hAnsi="宋体" w:eastAsia="宋体" w:cs="宋体"/>
          <w:color w:val="000000"/>
          <w:sz w:val="24"/>
        </w:rPr>
        <w:t>联系电话：</w:t>
      </w:r>
      <w:r>
        <w:rPr>
          <w:rFonts w:ascii="宋体" w:hAnsi="宋体" w:eastAsia="宋体" w:cs="宋体"/>
          <w:color w:val="000000"/>
          <w:sz w:val="24"/>
          <w:u w:val="single"/>
        </w:rPr>
        <w:t xml:space="preserve">0510-81901888                               </w:t>
      </w:r>
    </w:p>
    <w:p w14:paraId="10E45630">
      <w:pPr>
        <w:spacing w:line="300" w:lineRule="auto"/>
        <w:jc w:val="left"/>
      </w:pPr>
      <w:r>
        <w:rPr>
          <w:rFonts w:ascii="宋体" w:hAnsi="宋体" w:eastAsia="宋体" w:cs="宋体"/>
          <w:color w:val="000000"/>
          <w:sz w:val="24"/>
        </w:rPr>
        <w:t>委托代理人：</w:t>
      </w:r>
      <w:r>
        <w:rPr>
          <w:rFonts w:ascii="宋体" w:hAnsi="宋体" w:eastAsia="宋体" w:cs="宋体"/>
          <w:color w:val="000000"/>
          <w:sz w:val="24"/>
          <w:u w:val="single"/>
        </w:rPr>
        <w:t xml:space="preserve">     /                                 </w:t>
      </w:r>
      <w:r>
        <w:rPr>
          <w:rFonts w:ascii="宋体" w:hAnsi="宋体" w:eastAsia="宋体" w:cs="宋体"/>
          <w:color w:val="000000"/>
          <w:sz w:val="24"/>
        </w:rPr>
        <w:t xml:space="preserve"> 联系电话：</w:t>
      </w:r>
      <w:r>
        <w:rPr>
          <w:rFonts w:ascii="宋体" w:hAnsi="宋体" w:eastAsia="宋体" w:cs="宋体"/>
          <w:color w:val="000000"/>
          <w:sz w:val="24"/>
          <w:u w:val="single"/>
        </w:rPr>
        <w:t xml:space="preserve">     /                                 </w:t>
      </w:r>
    </w:p>
    <w:p w14:paraId="6113BF62">
      <w:pPr>
        <w:spacing w:line="300" w:lineRule="auto"/>
        <w:jc w:val="left"/>
      </w:pPr>
      <w:r>
        <w:rPr>
          <w:rFonts w:ascii="宋体" w:hAnsi="宋体" w:eastAsia="宋体" w:cs="宋体"/>
          <w:color w:val="000000"/>
          <w:sz w:val="24"/>
        </w:rPr>
        <w:t>委托销售经纪机构：</w:t>
      </w:r>
      <w:r>
        <w:rPr>
          <w:rFonts w:ascii="宋体" w:hAnsi="宋体" w:eastAsia="宋体" w:cs="宋体"/>
          <w:color w:val="000000"/>
          <w:sz w:val="24"/>
          <w:u w:val="single"/>
        </w:rPr>
        <w:t xml:space="preserve">   /                                                     </w:t>
      </w:r>
    </w:p>
    <w:p w14:paraId="1B288A02">
      <w:pPr>
        <w:spacing w:line="300" w:lineRule="auto"/>
        <w:jc w:val="left"/>
      </w:pPr>
      <w:r>
        <w:rPr>
          <w:rFonts w:ascii="宋体" w:hAnsi="宋体" w:eastAsia="宋体" w:cs="宋体"/>
          <w:color w:val="000000"/>
          <w:sz w:val="24"/>
        </w:rPr>
        <w:t>通讯地址：</w:t>
      </w:r>
      <w:r>
        <w:rPr>
          <w:rFonts w:ascii="宋体" w:hAnsi="宋体" w:eastAsia="宋体" w:cs="宋体"/>
          <w:color w:val="000000"/>
          <w:sz w:val="24"/>
          <w:u w:val="single"/>
        </w:rPr>
        <w:t xml:space="preserve">         /                                                       </w:t>
      </w:r>
    </w:p>
    <w:p w14:paraId="5D680DE0">
      <w:pPr>
        <w:spacing w:line="300" w:lineRule="auto"/>
        <w:jc w:val="left"/>
      </w:pPr>
      <w:r>
        <w:rPr>
          <w:rFonts w:ascii="宋体" w:hAnsi="宋体" w:eastAsia="宋体" w:cs="宋体"/>
          <w:color w:val="000000"/>
          <w:sz w:val="24"/>
        </w:rPr>
        <w:t>邮政编码：</w:t>
      </w:r>
      <w:r>
        <w:rPr>
          <w:rFonts w:ascii="宋体" w:hAnsi="宋体" w:eastAsia="宋体" w:cs="宋体"/>
          <w:color w:val="000000"/>
          <w:sz w:val="24"/>
          <w:u w:val="single"/>
        </w:rPr>
        <w:t xml:space="preserve">       /                                                        </w:t>
      </w:r>
    </w:p>
    <w:p w14:paraId="5EB9695F">
      <w:pPr>
        <w:spacing w:line="300" w:lineRule="auto"/>
        <w:jc w:val="left"/>
      </w:pPr>
      <w:r>
        <w:rPr>
          <w:rFonts w:ascii="宋体" w:hAnsi="宋体" w:eastAsia="宋体" w:cs="宋体"/>
          <w:color w:val="000000"/>
          <w:sz w:val="24"/>
        </w:rPr>
        <w:t xml:space="preserve">营业执照注册号：  </w:t>
      </w:r>
      <w:r>
        <w:rPr>
          <w:rFonts w:ascii="宋体" w:hAnsi="宋体" w:eastAsia="宋体" w:cs="宋体"/>
          <w:color w:val="000000"/>
          <w:sz w:val="24"/>
          <w:u w:val="single"/>
        </w:rPr>
        <w:t xml:space="preserve">     /                                                          </w:t>
      </w:r>
      <w:r>
        <w:rPr>
          <w:rFonts w:ascii="宋体" w:hAnsi="宋体" w:eastAsia="宋体" w:cs="宋体"/>
          <w:color w:val="000000"/>
          <w:sz w:val="24"/>
        </w:rPr>
        <w:t xml:space="preserve">                                      </w:t>
      </w:r>
    </w:p>
    <w:p w14:paraId="1AF641A0">
      <w:pPr>
        <w:spacing w:line="300" w:lineRule="auto"/>
        <w:jc w:val="left"/>
      </w:pPr>
      <w:r>
        <w:rPr>
          <w:rFonts w:ascii="宋体" w:hAnsi="宋体" w:eastAsia="宋体" w:cs="宋体"/>
          <w:color w:val="000000"/>
          <w:sz w:val="24"/>
        </w:rPr>
        <w:t xml:space="preserve">经纪机构备案证明号： </w:t>
      </w:r>
      <w:r>
        <w:rPr>
          <w:rFonts w:ascii="宋体" w:hAnsi="宋体" w:eastAsia="宋体" w:cs="宋体"/>
          <w:color w:val="000000"/>
          <w:sz w:val="24"/>
          <w:u w:val="single"/>
        </w:rPr>
        <w:t xml:space="preserve">   /                                                           </w:t>
      </w:r>
      <w:r>
        <w:rPr>
          <w:rFonts w:ascii="宋体" w:hAnsi="宋体" w:eastAsia="宋体" w:cs="宋体"/>
          <w:color w:val="000000"/>
          <w:sz w:val="24"/>
        </w:rPr>
        <w:t xml:space="preserve">                                       </w:t>
      </w:r>
    </w:p>
    <w:p w14:paraId="1F9FDBB1">
      <w:pPr>
        <w:spacing w:line="300" w:lineRule="auto"/>
        <w:jc w:val="left"/>
      </w:pPr>
      <w:r>
        <w:rPr>
          <w:rFonts w:ascii="宋体" w:hAnsi="宋体" w:eastAsia="宋体" w:cs="宋体"/>
          <w:color w:val="000000"/>
          <w:sz w:val="24"/>
        </w:rPr>
        <w:t>法定代表人：</w:t>
      </w:r>
      <w:r>
        <w:rPr>
          <w:rFonts w:ascii="宋体" w:hAnsi="宋体" w:eastAsia="宋体" w:cs="宋体"/>
          <w:color w:val="000000"/>
          <w:sz w:val="24"/>
          <w:u w:val="single"/>
        </w:rPr>
        <w:t xml:space="preserve">           /                          </w:t>
      </w:r>
      <w:r>
        <w:rPr>
          <w:rFonts w:ascii="宋体" w:hAnsi="宋体" w:eastAsia="宋体" w:cs="宋体"/>
          <w:color w:val="000000"/>
          <w:sz w:val="24"/>
        </w:rPr>
        <w:t xml:space="preserve">联系电话： </w:t>
      </w:r>
      <w:r>
        <w:rPr>
          <w:rFonts w:ascii="宋体" w:hAnsi="宋体" w:eastAsia="宋体" w:cs="宋体"/>
          <w:color w:val="000000"/>
          <w:sz w:val="24"/>
          <w:u w:val="single"/>
        </w:rPr>
        <w:t xml:space="preserve">  /                                    </w:t>
      </w:r>
    </w:p>
    <w:p w14:paraId="7E93831E">
      <w:pPr>
        <w:spacing w:line="300" w:lineRule="auto"/>
        <w:jc w:val="left"/>
      </w:pPr>
      <w:r>
        <w:rPr>
          <w:rFonts w:ascii="宋体" w:hAnsi="宋体" w:eastAsia="宋体" w:cs="宋体"/>
          <w:color w:val="000000"/>
          <w:sz w:val="24"/>
        </w:rPr>
        <w:t> </w:t>
      </w:r>
    </w:p>
    <w:p w14:paraId="16DDC251">
      <w:pPr>
        <w:spacing w:line="300" w:lineRule="auto"/>
        <w:ind w:right="135"/>
        <w:jc w:val="left"/>
      </w:pPr>
      <w:r>
        <w:rPr>
          <w:rFonts w:ascii="宋体" w:hAnsi="宋体" w:eastAsia="宋体" w:cs="宋体"/>
          <w:color w:val="000000"/>
          <w:sz w:val="24"/>
        </w:rPr>
        <w:t>买受人：</w:t>
      </w:r>
      <w:r>
        <w:rPr>
          <w:rFonts w:ascii="宋体" w:hAnsi="宋体" w:eastAsia="宋体" w:cs="宋体"/>
          <w:color w:val="000000"/>
          <w:sz w:val="24"/>
          <w:u w:val="single"/>
        </w:rPr>
        <w:t xml:space="preserve">                                                                </w:t>
      </w:r>
    </w:p>
    <w:p w14:paraId="1629E0FE">
      <w:pPr>
        <w:spacing w:line="300" w:lineRule="auto"/>
        <w:jc w:val="left"/>
      </w:pPr>
      <w:r>
        <w:rPr>
          <w:rFonts w:ascii="宋体" w:hAnsi="宋体" w:eastAsia="宋体" w:cs="宋体"/>
          <w:color w:val="000000"/>
          <w:sz w:val="24"/>
        </w:rPr>
        <w:t>【法定代表人】【负责人】：</w:t>
      </w:r>
      <w:r>
        <w:rPr>
          <w:rFonts w:ascii="宋体" w:hAnsi="宋体" w:eastAsia="宋体" w:cs="宋体"/>
          <w:color w:val="000000"/>
          <w:sz w:val="24"/>
          <w:u w:val="single"/>
        </w:rPr>
        <w:t xml:space="preserve">    /                                                       </w:t>
      </w:r>
    </w:p>
    <w:p w14:paraId="546086F3">
      <w:pPr>
        <w:spacing w:line="300" w:lineRule="auto"/>
        <w:jc w:val="left"/>
      </w:pPr>
      <w:r>
        <w:rPr>
          <w:rFonts w:ascii="宋体" w:hAnsi="宋体" w:eastAsia="宋体" w:cs="宋体"/>
          <w:color w:val="000000"/>
          <w:sz w:val="24"/>
        </w:rPr>
        <w:t>【国籍】【户籍所在地】：</w:t>
      </w:r>
      <w:r>
        <w:rPr>
          <w:rFonts w:ascii="宋体" w:hAnsi="宋体" w:eastAsia="宋体" w:cs="宋体"/>
          <w:color w:val="000000"/>
          <w:sz w:val="24"/>
          <w:u w:val="single"/>
        </w:rPr>
        <w:t xml:space="preserve">                                              </w:t>
      </w:r>
    </w:p>
    <w:p w14:paraId="1B8FB397">
      <w:pPr>
        <w:spacing w:line="300" w:lineRule="auto"/>
        <w:jc w:val="left"/>
      </w:pPr>
      <w:r>
        <w:rPr>
          <w:rFonts w:ascii="宋体" w:hAnsi="宋体" w:eastAsia="宋体" w:cs="宋体"/>
          <w:color w:val="000000"/>
          <w:sz w:val="24"/>
        </w:rPr>
        <w:t>证件类型：【居民身份证】，证号：</w:t>
      </w:r>
      <w:r>
        <w:rPr>
          <w:rFonts w:ascii="宋体" w:hAnsi="宋体" w:eastAsia="宋体" w:cs="宋体"/>
          <w:color w:val="000000"/>
          <w:sz w:val="24"/>
          <w:u w:val="single"/>
        </w:rPr>
        <w:t xml:space="preserve">                   </w:t>
      </w:r>
      <w:r>
        <w:rPr>
          <w:rFonts w:ascii="宋体" w:hAnsi="宋体" w:eastAsia="宋体" w:cs="宋体"/>
          <w:color w:val="000000"/>
          <w:sz w:val="28"/>
          <w:u w:val="single"/>
        </w:rPr>
        <w:t xml:space="preserve"> </w:t>
      </w:r>
      <w:r>
        <w:rPr>
          <w:rFonts w:ascii="宋体" w:hAnsi="宋体" w:eastAsia="宋体" w:cs="宋体"/>
          <w:color w:val="000000"/>
          <w:sz w:val="24"/>
          <w:u w:val="single"/>
        </w:rPr>
        <w:t xml:space="preserve">                 </w:t>
      </w:r>
    </w:p>
    <w:p w14:paraId="5725C99D">
      <w:pPr>
        <w:spacing w:line="300" w:lineRule="auto"/>
        <w:jc w:val="left"/>
      </w:pPr>
      <w:r>
        <w:rPr>
          <w:rFonts w:ascii="宋体" w:hAnsi="宋体" w:eastAsia="宋体" w:cs="宋体"/>
          <w:color w:val="000000"/>
          <w:sz w:val="24"/>
        </w:rPr>
        <w:t>出生日期：</w:t>
      </w:r>
      <w:r>
        <w:rPr>
          <w:rFonts w:ascii="宋体" w:hAnsi="宋体" w:eastAsia="宋体" w:cs="宋体"/>
          <w:color w:val="000000"/>
          <w:sz w:val="24"/>
          <w:u w:val="single"/>
        </w:rPr>
        <w:t xml:space="preserve">     </w:t>
      </w:r>
      <w:r>
        <w:rPr>
          <w:rFonts w:ascii="宋体" w:hAnsi="宋体" w:eastAsia="宋体" w:cs="宋体"/>
          <w:color w:val="000000"/>
          <w:sz w:val="24"/>
        </w:rPr>
        <w:t>年</w:t>
      </w:r>
      <w:r>
        <w:rPr>
          <w:rFonts w:ascii="宋体" w:hAnsi="宋体" w:eastAsia="宋体" w:cs="宋体"/>
          <w:color w:val="000000"/>
          <w:sz w:val="24"/>
          <w:u w:val="single"/>
        </w:rPr>
        <w:t xml:space="preserve">     </w:t>
      </w:r>
      <w:r>
        <w:rPr>
          <w:rFonts w:ascii="宋体" w:hAnsi="宋体" w:eastAsia="宋体" w:cs="宋体"/>
          <w:color w:val="000000"/>
          <w:sz w:val="24"/>
        </w:rPr>
        <w:t xml:space="preserve"> 月</w:t>
      </w:r>
      <w:r>
        <w:rPr>
          <w:rFonts w:ascii="宋体" w:hAnsi="宋体" w:eastAsia="宋体" w:cs="宋体"/>
          <w:color w:val="000000"/>
          <w:sz w:val="24"/>
          <w:u w:val="single"/>
        </w:rPr>
        <w:t xml:space="preserve">      </w:t>
      </w:r>
      <w:r>
        <w:rPr>
          <w:rFonts w:ascii="宋体" w:hAnsi="宋体" w:eastAsia="宋体" w:cs="宋体"/>
          <w:color w:val="000000"/>
          <w:sz w:val="24"/>
        </w:rPr>
        <w:t xml:space="preserve"> 日，性别：</w:t>
      </w:r>
      <w:r>
        <w:rPr>
          <w:rFonts w:ascii="宋体" w:hAnsi="宋体" w:eastAsia="宋体" w:cs="宋体"/>
          <w:color w:val="000000"/>
          <w:sz w:val="24"/>
          <w:u w:val="single"/>
        </w:rPr>
        <w:t xml:space="preserve">                </w:t>
      </w:r>
    </w:p>
    <w:p w14:paraId="22D0F325">
      <w:pPr>
        <w:spacing w:line="300" w:lineRule="auto"/>
        <w:jc w:val="left"/>
      </w:pPr>
      <w:r>
        <w:rPr>
          <w:rFonts w:ascii="宋体" w:hAnsi="宋体" w:eastAsia="宋体" w:cs="宋体"/>
          <w:color w:val="000000"/>
          <w:sz w:val="24"/>
        </w:rPr>
        <w:t>通讯地址：</w:t>
      </w:r>
      <w:r>
        <w:rPr>
          <w:rFonts w:ascii="宋体" w:hAnsi="宋体" w:eastAsia="宋体" w:cs="宋体"/>
          <w:color w:val="000000"/>
          <w:sz w:val="24"/>
          <w:u w:val="single"/>
        </w:rPr>
        <w:t xml:space="preserve">                                                   </w:t>
      </w:r>
    </w:p>
    <w:p w14:paraId="5F7613F2">
      <w:pPr>
        <w:spacing w:line="300" w:lineRule="auto"/>
        <w:jc w:val="left"/>
      </w:pPr>
      <w:r>
        <w:rPr>
          <w:rFonts w:ascii="宋体" w:hAnsi="宋体" w:eastAsia="宋体" w:cs="宋体"/>
          <w:color w:val="000000"/>
          <w:sz w:val="24"/>
        </w:rPr>
        <w:t xml:space="preserve">邮政编码： </w:t>
      </w:r>
      <w:r>
        <w:rPr>
          <w:rFonts w:ascii="宋体" w:hAnsi="宋体" w:eastAsia="宋体" w:cs="宋体"/>
          <w:color w:val="000000"/>
          <w:sz w:val="24"/>
          <w:u w:val="single"/>
        </w:rPr>
        <w:t xml:space="preserve">           </w:t>
      </w:r>
      <w:r>
        <w:rPr>
          <w:rFonts w:ascii="宋体" w:hAnsi="宋体" w:eastAsia="宋体" w:cs="宋体"/>
          <w:color w:val="000000"/>
          <w:sz w:val="24"/>
        </w:rPr>
        <w:t>联系电话：</w:t>
      </w:r>
      <w:r>
        <w:rPr>
          <w:rFonts w:ascii="宋体" w:hAnsi="宋体" w:eastAsia="宋体" w:cs="宋体"/>
          <w:color w:val="000000"/>
          <w:sz w:val="24"/>
          <w:u w:val="single"/>
        </w:rPr>
        <w:t xml:space="preserve">                   </w:t>
      </w:r>
    </w:p>
    <w:p w14:paraId="5043F2CC">
      <w:pPr>
        <w:spacing w:line="300" w:lineRule="auto"/>
        <w:jc w:val="left"/>
      </w:pPr>
      <w:r>
        <w:rPr>
          <w:rFonts w:ascii="宋体" w:hAnsi="宋体" w:eastAsia="宋体" w:cs="宋体"/>
          <w:color w:val="000000"/>
          <w:sz w:val="24"/>
        </w:rPr>
        <w:t>【委托代理人】【法定代理人】：</w:t>
      </w:r>
      <w:r>
        <w:rPr>
          <w:rFonts w:ascii="宋体" w:hAnsi="宋体" w:eastAsia="宋体" w:cs="宋体"/>
          <w:color w:val="000000"/>
          <w:sz w:val="24"/>
          <w:u w:val="single"/>
        </w:rPr>
        <w:t xml:space="preserve"> /                                          </w:t>
      </w:r>
    </w:p>
    <w:p w14:paraId="04D5A56C">
      <w:pPr>
        <w:spacing w:line="300" w:lineRule="auto"/>
        <w:jc w:val="left"/>
      </w:pPr>
      <w:r>
        <w:rPr>
          <w:rFonts w:ascii="宋体" w:hAnsi="宋体" w:eastAsia="宋体" w:cs="宋体"/>
          <w:color w:val="000000"/>
          <w:sz w:val="24"/>
        </w:rPr>
        <w:t>【国籍】【户籍所在地】：</w:t>
      </w:r>
      <w:r>
        <w:rPr>
          <w:rFonts w:ascii="宋体" w:hAnsi="宋体" w:eastAsia="宋体" w:cs="宋体"/>
          <w:color w:val="000000"/>
          <w:sz w:val="24"/>
          <w:u w:val="single"/>
        </w:rPr>
        <w:t xml:space="preserve">   /                                               </w:t>
      </w:r>
    </w:p>
    <w:p w14:paraId="63147077">
      <w:pPr>
        <w:spacing w:line="300" w:lineRule="auto"/>
        <w:jc w:val="left"/>
      </w:pPr>
      <w:r>
        <w:rPr>
          <w:rFonts w:ascii="宋体" w:hAnsi="宋体" w:eastAsia="宋体" w:cs="宋体"/>
          <w:color w:val="000000"/>
          <w:sz w:val="24"/>
        </w:rPr>
        <w:t xml:space="preserve">证件类型：【居民身份证】，证号： </w:t>
      </w:r>
      <w:r>
        <w:rPr>
          <w:rFonts w:ascii="宋体" w:hAnsi="宋体" w:eastAsia="宋体" w:cs="宋体"/>
          <w:color w:val="000000"/>
          <w:sz w:val="24"/>
          <w:u w:val="single"/>
        </w:rPr>
        <w:t xml:space="preserve">    /                                     </w:t>
      </w:r>
    </w:p>
    <w:p w14:paraId="4904C132">
      <w:pPr>
        <w:spacing w:line="300" w:lineRule="auto"/>
        <w:jc w:val="left"/>
      </w:pPr>
      <w:r>
        <w:rPr>
          <w:rFonts w:ascii="宋体" w:hAnsi="宋体" w:eastAsia="宋体" w:cs="宋体"/>
          <w:color w:val="000000"/>
          <w:sz w:val="24"/>
        </w:rPr>
        <w:t>出生日期：</w:t>
      </w:r>
      <w:r>
        <w:rPr>
          <w:rFonts w:ascii="宋体" w:hAnsi="宋体" w:eastAsia="宋体" w:cs="宋体"/>
          <w:color w:val="000000"/>
          <w:sz w:val="24"/>
          <w:u w:val="single"/>
        </w:rPr>
        <w:t xml:space="preserve">    /</w:t>
      </w:r>
      <w:r>
        <w:rPr>
          <w:rFonts w:ascii="宋体" w:hAnsi="宋体" w:eastAsia="宋体" w:cs="宋体"/>
          <w:color w:val="000000"/>
          <w:sz w:val="24"/>
        </w:rPr>
        <w:t xml:space="preserve">，性别： </w:t>
      </w:r>
      <w:r>
        <w:rPr>
          <w:rFonts w:ascii="宋体" w:hAnsi="宋体" w:eastAsia="宋体" w:cs="宋体"/>
          <w:color w:val="000000"/>
          <w:sz w:val="24"/>
          <w:u w:val="single"/>
        </w:rPr>
        <w:t xml:space="preserve">  /                                                </w:t>
      </w:r>
    </w:p>
    <w:p w14:paraId="0C7D0164">
      <w:pPr>
        <w:spacing w:line="300" w:lineRule="auto"/>
        <w:jc w:val="left"/>
      </w:pPr>
      <w:r>
        <w:rPr>
          <w:rFonts w:ascii="宋体" w:hAnsi="宋体" w:eastAsia="宋体" w:cs="宋体"/>
          <w:color w:val="000000"/>
          <w:sz w:val="24"/>
        </w:rPr>
        <w:t>通讯地址：</w:t>
      </w:r>
      <w:r>
        <w:rPr>
          <w:rFonts w:ascii="宋体" w:hAnsi="宋体" w:eastAsia="宋体" w:cs="宋体"/>
          <w:color w:val="000000"/>
          <w:sz w:val="24"/>
          <w:u w:val="single"/>
        </w:rPr>
        <w:t xml:space="preserve">     /                                                           </w:t>
      </w:r>
    </w:p>
    <w:p w14:paraId="747BBFBB">
      <w:pPr>
        <w:spacing w:line="300" w:lineRule="auto"/>
        <w:jc w:val="left"/>
      </w:pPr>
      <w:r>
        <w:rPr>
          <w:rFonts w:ascii="宋体" w:hAnsi="宋体" w:eastAsia="宋体" w:cs="宋体"/>
          <w:color w:val="000000"/>
          <w:sz w:val="24"/>
        </w:rPr>
        <w:t xml:space="preserve">邮政编码： </w:t>
      </w:r>
      <w:r>
        <w:rPr>
          <w:rFonts w:ascii="宋体" w:hAnsi="宋体" w:eastAsia="宋体" w:cs="宋体"/>
          <w:color w:val="000000"/>
          <w:sz w:val="24"/>
          <w:u w:val="single"/>
        </w:rPr>
        <w:t xml:space="preserve">    /          </w:t>
      </w:r>
      <w:r>
        <w:rPr>
          <w:rFonts w:ascii="宋体" w:hAnsi="宋体" w:eastAsia="宋体" w:cs="宋体"/>
          <w:color w:val="000000"/>
          <w:sz w:val="24"/>
        </w:rPr>
        <w:t xml:space="preserve">   联系电话：</w:t>
      </w:r>
      <w:r>
        <w:rPr>
          <w:rFonts w:ascii="宋体" w:hAnsi="宋体" w:eastAsia="宋体" w:cs="宋体"/>
          <w:color w:val="000000"/>
          <w:sz w:val="24"/>
          <w:u w:val="single"/>
        </w:rPr>
        <w:t xml:space="preserve">   /                                </w:t>
      </w:r>
    </w:p>
    <w:p w14:paraId="1C12DACC">
      <w:pPr>
        <w:spacing w:line="300" w:lineRule="auto"/>
      </w:pPr>
      <w:r>
        <w:rPr>
          <w:rFonts w:ascii="宋体" w:hAnsi="宋体" w:eastAsia="宋体" w:cs="宋体"/>
          <w:color w:val="000000"/>
          <w:sz w:val="28"/>
        </w:rPr>
        <w:t> </w:t>
      </w:r>
    </w:p>
    <w:p w14:paraId="22EED6FE">
      <w:pPr>
        <w:spacing w:line="300" w:lineRule="auto"/>
        <w:jc w:val="center"/>
      </w:pPr>
      <w:r>
        <w:rPr>
          <w:rFonts w:ascii="宋体" w:hAnsi="宋体" w:eastAsia="宋体" w:cs="宋体"/>
          <w:b/>
          <w:color w:val="000000"/>
          <w:sz w:val="28"/>
        </w:rPr>
        <w:t>第二章 商品房基本状况</w:t>
      </w:r>
    </w:p>
    <w:p w14:paraId="29EFEB06">
      <w:pPr>
        <w:spacing w:line="300" w:lineRule="auto"/>
        <w:ind w:firstLine="482" w:firstLineChars="200"/>
      </w:pPr>
      <w:r>
        <w:rPr>
          <w:rFonts w:ascii="宋体" w:hAnsi="宋体" w:eastAsia="宋体" w:cs="宋体"/>
          <w:b/>
          <w:color w:val="000000"/>
          <w:sz w:val="24"/>
        </w:rPr>
        <w:t>第一条 项目建设依据</w:t>
      </w:r>
    </w:p>
    <w:p w14:paraId="23869A70">
      <w:pPr>
        <w:spacing w:line="300" w:lineRule="auto"/>
        <w:ind w:firstLine="480" w:firstLineChars="200"/>
      </w:pPr>
      <w:r>
        <w:rPr>
          <w:rFonts w:ascii="宋体" w:hAnsi="宋体" w:eastAsia="宋体" w:cs="宋体"/>
          <w:color w:val="000000"/>
          <w:sz w:val="24"/>
        </w:rPr>
        <w:t xml:space="preserve">1．出卖人以【出让】方式取得坐落于 </w:t>
      </w:r>
      <w:r>
        <w:rPr>
          <w:rFonts w:ascii="宋体" w:hAnsi="宋体" w:eastAsia="宋体" w:cs="宋体"/>
          <w:color w:val="000000"/>
          <w:sz w:val="24"/>
          <w:u w:val="single"/>
        </w:rPr>
        <w:t xml:space="preserve"> 滨湖区和风路与万顺道交叉口西南侧 </w:t>
      </w:r>
      <w:r>
        <w:rPr>
          <w:rFonts w:ascii="宋体" w:hAnsi="宋体" w:eastAsia="宋体" w:cs="宋体"/>
          <w:color w:val="000000"/>
          <w:sz w:val="24"/>
        </w:rPr>
        <w:t>地块的建设用地使用权。该地块 【国有土地使用证号】为</w:t>
      </w:r>
      <w:r>
        <w:rPr>
          <w:rFonts w:ascii="宋体" w:hAnsi="宋体" w:eastAsia="宋体" w:cs="宋体"/>
          <w:color w:val="000000"/>
          <w:sz w:val="24"/>
          <w:u w:val="single"/>
        </w:rPr>
        <w:t xml:space="preserve"> 苏(2024)无锡市不动产权第0196902号 </w:t>
      </w:r>
      <w:r>
        <w:rPr>
          <w:rFonts w:ascii="宋体" w:hAnsi="宋体" w:eastAsia="宋体" w:cs="宋体"/>
          <w:color w:val="000000"/>
          <w:sz w:val="24"/>
        </w:rPr>
        <w:t>，土地使用权面积为</w:t>
      </w:r>
      <w:r>
        <w:rPr>
          <w:rFonts w:ascii="宋体" w:hAnsi="宋体" w:eastAsia="宋体" w:cs="宋体"/>
          <w:color w:val="000000"/>
          <w:sz w:val="24"/>
          <w:u w:val="single"/>
        </w:rPr>
        <w:t xml:space="preserve">   13428.2   </w:t>
      </w:r>
      <w:r>
        <w:rPr>
          <w:rFonts w:ascii="宋体" w:hAnsi="宋体" w:eastAsia="宋体" w:cs="宋体"/>
          <w:color w:val="000000"/>
          <w:sz w:val="24"/>
        </w:rPr>
        <w:t>平方米。买受人购买的商品房（以下简称该商品房）所占用的土地用途为</w:t>
      </w:r>
      <w:r>
        <w:rPr>
          <w:rFonts w:ascii="宋体" w:hAnsi="宋体" w:eastAsia="宋体" w:cs="宋体"/>
          <w:color w:val="000000"/>
          <w:sz w:val="24"/>
          <w:u w:val="single"/>
        </w:rPr>
        <w:t xml:space="preserve">  住宅  </w:t>
      </w:r>
      <w:r>
        <w:rPr>
          <w:rFonts w:ascii="宋体" w:hAnsi="宋体" w:eastAsia="宋体" w:cs="宋体"/>
          <w:color w:val="000000"/>
          <w:sz w:val="24"/>
        </w:rPr>
        <w:t>，土地使用权终止日期为</w:t>
      </w:r>
      <w:r>
        <w:rPr>
          <w:rFonts w:ascii="宋体" w:hAnsi="宋体" w:eastAsia="宋体" w:cs="宋体"/>
          <w:color w:val="000000"/>
          <w:sz w:val="24"/>
          <w:u w:val="single"/>
        </w:rPr>
        <w:t xml:space="preserve">  2094  </w:t>
      </w:r>
      <w:r>
        <w:rPr>
          <w:rFonts w:ascii="宋体" w:hAnsi="宋体" w:eastAsia="宋体" w:cs="宋体"/>
          <w:color w:val="000000"/>
          <w:sz w:val="24"/>
        </w:rPr>
        <w:t>年</w:t>
      </w:r>
      <w:r>
        <w:rPr>
          <w:rFonts w:ascii="宋体" w:hAnsi="宋体" w:eastAsia="宋体" w:cs="宋体"/>
          <w:color w:val="000000"/>
          <w:sz w:val="24"/>
          <w:u w:val="single"/>
        </w:rPr>
        <w:t xml:space="preserve"> 12   </w:t>
      </w:r>
      <w:r>
        <w:rPr>
          <w:rFonts w:ascii="宋体" w:hAnsi="宋体" w:eastAsia="宋体" w:cs="宋体"/>
          <w:color w:val="000000"/>
          <w:sz w:val="24"/>
        </w:rPr>
        <w:t>月</w:t>
      </w:r>
      <w:r>
        <w:rPr>
          <w:rFonts w:ascii="宋体" w:hAnsi="宋体" w:eastAsia="宋体" w:cs="宋体"/>
          <w:color w:val="000000"/>
          <w:sz w:val="24"/>
          <w:u w:val="single"/>
        </w:rPr>
        <w:t xml:space="preserve">  3  </w:t>
      </w:r>
      <w:r>
        <w:rPr>
          <w:rFonts w:ascii="宋体" w:hAnsi="宋体" w:eastAsia="宋体" w:cs="宋体"/>
          <w:color w:val="000000"/>
          <w:sz w:val="24"/>
        </w:rPr>
        <w:t>日。</w:t>
      </w:r>
    </w:p>
    <w:p w14:paraId="47CD4188">
      <w:pPr>
        <w:spacing w:line="300" w:lineRule="auto"/>
        <w:ind w:firstLine="480" w:firstLineChars="200"/>
      </w:pPr>
      <w:r>
        <w:rPr>
          <w:rFonts w:ascii="宋体" w:hAnsi="宋体" w:eastAsia="宋体" w:cs="宋体"/>
          <w:color w:val="000000"/>
          <w:sz w:val="24"/>
        </w:rPr>
        <w:t>2．出卖人经批准，在上述地块上建设的商品房项目核准名称为</w:t>
      </w:r>
      <w:r>
        <w:rPr>
          <w:rFonts w:ascii="宋体" w:hAnsi="宋体" w:eastAsia="宋体" w:cs="宋体"/>
          <w:color w:val="000000"/>
          <w:sz w:val="24"/>
          <w:u w:val="single"/>
        </w:rPr>
        <w:t xml:space="preserve">  聆溪雅庭   </w:t>
      </w:r>
      <w:r>
        <w:rPr>
          <w:rFonts w:ascii="宋体" w:hAnsi="宋体" w:eastAsia="宋体" w:cs="宋体"/>
          <w:color w:val="000000"/>
          <w:sz w:val="24"/>
        </w:rPr>
        <w:t>，建设工程规划许可证号为</w:t>
      </w:r>
      <w:r>
        <w:rPr>
          <w:rFonts w:ascii="宋体" w:hAnsi="宋体" w:eastAsia="宋体" w:cs="宋体"/>
          <w:color w:val="000000"/>
          <w:sz w:val="24"/>
          <w:u w:val="single"/>
        </w:rPr>
        <w:t xml:space="preserve">  建字第3202112025GG0029535号  </w:t>
      </w:r>
      <w:r>
        <w:rPr>
          <w:rFonts w:ascii="宋体" w:hAnsi="宋体" w:eastAsia="宋体" w:cs="宋体"/>
          <w:color w:val="000000"/>
          <w:sz w:val="24"/>
        </w:rPr>
        <w:t>，建筑工程施工许可证号为</w:t>
      </w:r>
      <w:r>
        <w:rPr>
          <w:rFonts w:ascii="宋体" w:hAnsi="宋体" w:eastAsia="宋体" w:cs="宋体"/>
          <w:color w:val="000000"/>
          <w:sz w:val="24"/>
          <w:u w:val="single"/>
        </w:rPr>
        <w:t xml:space="preserve">   320211202503210101   </w:t>
      </w:r>
      <w:r>
        <w:rPr>
          <w:rFonts w:ascii="宋体" w:hAnsi="宋体" w:eastAsia="宋体" w:cs="宋体"/>
          <w:color w:val="000000"/>
          <w:sz w:val="24"/>
        </w:rPr>
        <w:t>。</w:t>
      </w:r>
    </w:p>
    <w:p w14:paraId="2DEBB264">
      <w:pPr>
        <w:spacing w:line="300" w:lineRule="auto"/>
        <w:ind w:firstLine="482" w:firstLineChars="200"/>
        <w:rPr>
          <w:highlight w:val="none"/>
        </w:rPr>
      </w:pPr>
      <w:r>
        <w:rPr>
          <w:rFonts w:ascii="宋体" w:hAnsi="宋体" w:eastAsia="宋体" w:cs="宋体"/>
          <w:b/>
          <w:color w:val="000000"/>
          <w:sz w:val="24"/>
          <w:highlight w:val="none"/>
        </w:rPr>
        <w:t>第二条 预售依据</w:t>
      </w:r>
    </w:p>
    <w:p w14:paraId="54BB6965">
      <w:pPr>
        <w:spacing w:line="300" w:lineRule="auto"/>
        <w:ind w:firstLine="480" w:firstLineChars="200"/>
        <w:rPr>
          <w:highlight w:val="none"/>
        </w:rPr>
      </w:pPr>
      <w:r>
        <w:rPr>
          <w:rFonts w:ascii="宋体" w:hAnsi="宋体" w:eastAsia="宋体" w:cs="宋体"/>
          <w:color w:val="000000"/>
          <w:sz w:val="24"/>
          <w:highlight w:val="none"/>
        </w:rPr>
        <w:t>该商品房已由</w:t>
      </w:r>
      <w:r>
        <w:rPr>
          <w:rFonts w:ascii="宋体" w:hAnsi="宋体" w:eastAsia="宋体" w:cs="宋体"/>
          <w:color w:val="000000"/>
          <w:sz w:val="24"/>
          <w:highlight w:val="none"/>
          <w:u w:val="single"/>
        </w:rPr>
        <w:t xml:space="preserve">                         </w:t>
      </w:r>
      <w:r>
        <w:rPr>
          <w:rFonts w:ascii="宋体" w:hAnsi="宋体" w:eastAsia="宋体" w:cs="宋体"/>
          <w:color w:val="000000"/>
          <w:sz w:val="24"/>
          <w:highlight w:val="none"/>
        </w:rPr>
        <w:t>批准预售，预售许可证号为</w:t>
      </w:r>
      <w:r>
        <w:rPr>
          <w:rFonts w:ascii="宋体" w:hAnsi="宋体" w:eastAsia="宋体" w:cs="宋体"/>
          <w:color w:val="000000"/>
          <w:sz w:val="24"/>
          <w:highlight w:val="none"/>
          <w:u w:val="single"/>
        </w:rPr>
        <w:t xml:space="preserve">                     </w:t>
      </w:r>
      <w:r>
        <w:rPr>
          <w:rFonts w:ascii="宋体" w:hAnsi="宋体" w:eastAsia="宋体" w:cs="宋体"/>
          <w:color w:val="000000"/>
          <w:sz w:val="24"/>
          <w:highlight w:val="none"/>
        </w:rPr>
        <w:t>。</w:t>
      </w:r>
    </w:p>
    <w:p w14:paraId="443629DC">
      <w:pPr>
        <w:spacing w:line="300" w:lineRule="auto"/>
        <w:ind w:firstLine="482" w:firstLineChars="200"/>
        <w:rPr>
          <w:highlight w:val="none"/>
        </w:rPr>
      </w:pPr>
      <w:r>
        <w:rPr>
          <w:rFonts w:ascii="宋体" w:hAnsi="宋体" w:eastAsia="宋体" w:cs="宋体"/>
          <w:b/>
          <w:color w:val="000000"/>
          <w:sz w:val="24"/>
          <w:highlight w:val="none"/>
        </w:rPr>
        <w:t>第三条 商品房基本情况</w:t>
      </w:r>
    </w:p>
    <w:p w14:paraId="0D7F5831">
      <w:pPr>
        <w:shd w:val="clear"/>
        <w:spacing w:line="300" w:lineRule="auto"/>
        <w:ind w:firstLine="480" w:firstLineChars="200"/>
        <w:rPr>
          <w:highlight w:val="none"/>
        </w:rPr>
      </w:pPr>
      <w:r>
        <w:rPr>
          <w:rFonts w:ascii="宋体" w:hAnsi="宋体" w:eastAsia="宋体" w:cs="宋体"/>
          <w:color w:val="000000"/>
          <w:sz w:val="24"/>
          <w:highlight w:val="none"/>
        </w:rPr>
        <w:t>1．该商品房的规划用途为【住宅】。</w:t>
      </w:r>
    </w:p>
    <w:p w14:paraId="5E31326B">
      <w:pPr>
        <w:shd w:val="clear"/>
        <w:spacing w:line="300" w:lineRule="auto"/>
        <w:ind w:firstLine="480" w:firstLineChars="200"/>
        <w:rPr>
          <w:color w:val="auto"/>
          <w:highlight w:val="none"/>
        </w:rPr>
      </w:pPr>
      <w:r>
        <w:rPr>
          <w:rFonts w:ascii="宋体" w:hAnsi="宋体" w:eastAsia="宋体" w:cs="宋体"/>
          <w:color w:val="000000"/>
          <w:sz w:val="24"/>
          <w:highlight w:val="none"/>
        </w:rPr>
        <w:t>2．该商品房所在建筑物的主体结构为</w:t>
      </w:r>
      <w:r>
        <w:rPr>
          <w:rFonts w:ascii="宋体" w:hAnsi="宋体" w:eastAsia="宋体" w:cs="宋体"/>
          <w:color w:val="000000"/>
          <w:sz w:val="24"/>
          <w:highlight w:val="none"/>
          <w:u w:val="single"/>
        </w:rPr>
        <w:t xml:space="preserve"> 剪力墙结构    </w:t>
      </w:r>
      <w:r>
        <w:rPr>
          <w:rFonts w:ascii="宋体" w:hAnsi="宋体" w:eastAsia="宋体" w:cs="宋体"/>
          <w:color w:val="000000"/>
          <w:sz w:val="24"/>
          <w:highlight w:val="none"/>
        </w:rPr>
        <w:t>，建筑总层</w:t>
      </w:r>
      <w:r>
        <w:rPr>
          <w:rFonts w:ascii="宋体" w:hAnsi="宋体" w:eastAsia="宋体" w:cs="宋体"/>
          <w:color w:val="auto"/>
          <w:sz w:val="24"/>
          <w:highlight w:val="none"/>
        </w:rPr>
        <w:t>数为</w:t>
      </w:r>
      <w:permStart w:id="0" w:edGrp="everyone"/>
      <w:r>
        <w:rPr>
          <w:rFonts w:hint="eastAsia" w:ascii="宋体" w:hAnsi="宋体" w:cs="宋体"/>
          <w:color w:val="auto"/>
          <w:kern w:val="0"/>
          <w:sz w:val="24"/>
          <w:szCs w:val="24"/>
          <w:highlight w:val="none"/>
          <w:u w:val="single"/>
        </w:rPr>
        <w:t xml:space="preserve">    8</w:t>
      </w:r>
      <w:r>
        <w:rPr>
          <w:rFonts w:hint="eastAsia" w:ascii="宋体" w:hAnsi="宋体" w:cs="宋体"/>
          <w:color w:val="auto"/>
          <w:kern w:val="0"/>
          <w:sz w:val="24"/>
          <w:szCs w:val="24"/>
          <w:highlight w:val="none"/>
          <w:u w:val="single"/>
          <w:lang w:eastAsia="zh-CN"/>
        </w:rPr>
        <w:t>（</w:t>
      </w:r>
      <w:r>
        <w:rPr>
          <w:rFonts w:hint="eastAsia" w:ascii="宋体" w:hAnsi="宋体" w:cs="宋体"/>
          <w:color w:val="auto"/>
          <w:kern w:val="0"/>
          <w:sz w:val="24"/>
          <w:szCs w:val="24"/>
          <w:highlight w:val="none"/>
          <w:u w:val="single"/>
          <w:lang w:val="en-US" w:eastAsia="zh-CN"/>
        </w:rPr>
        <w:t>1#、2#</w:t>
      </w:r>
      <w:r>
        <w:rPr>
          <w:rFonts w:hint="eastAsia" w:ascii="宋体" w:hAnsi="宋体" w:cs="宋体"/>
          <w:color w:val="auto"/>
          <w:kern w:val="0"/>
          <w:sz w:val="24"/>
          <w:szCs w:val="24"/>
          <w:highlight w:val="none"/>
          <w:u w:val="single"/>
          <w:lang w:eastAsia="zh-CN"/>
        </w:rPr>
        <w:t>）</w:t>
      </w:r>
      <w:r>
        <w:rPr>
          <w:rFonts w:hint="eastAsia" w:ascii="宋体" w:hAnsi="宋体" w:cs="宋体"/>
          <w:color w:val="auto"/>
          <w:kern w:val="0"/>
          <w:sz w:val="24"/>
          <w:szCs w:val="24"/>
          <w:highlight w:val="none"/>
          <w:u w:val="single"/>
        </w:rPr>
        <w:t xml:space="preserve"> </w:t>
      </w:r>
      <w:r>
        <w:rPr>
          <w:rFonts w:hint="eastAsia" w:ascii="宋体" w:hAnsi="宋体" w:cs="宋体"/>
          <w:color w:val="auto"/>
          <w:kern w:val="0"/>
          <w:sz w:val="24"/>
          <w:szCs w:val="24"/>
          <w:highlight w:val="none"/>
          <w:u w:val="single"/>
          <w:lang w:val="en-US" w:eastAsia="zh-CN"/>
        </w:rPr>
        <w:t>11（3#、4#）</w:t>
      </w:r>
      <w:r>
        <w:rPr>
          <w:rFonts w:hint="eastAsia" w:ascii="宋体" w:hAnsi="宋体" w:cs="宋体"/>
          <w:color w:val="auto"/>
          <w:kern w:val="0"/>
          <w:sz w:val="24"/>
          <w:szCs w:val="24"/>
          <w:highlight w:val="none"/>
          <w:u w:val="single"/>
        </w:rPr>
        <w:t xml:space="preserve">  </w:t>
      </w:r>
      <w:permEnd w:id="0"/>
      <w:r>
        <w:rPr>
          <w:rFonts w:hint="eastAsia" w:ascii="宋体" w:hAnsi="宋体" w:cs="宋体"/>
          <w:color w:val="auto"/>
          <w:kern w:val="0"/>
          <w:sz w:val="24"/>
          <w:szCs w:val="24"/>
          <w:highlight w:val="none"/>
        </w:rPr>
        <w:t>层，其中地上</w:t>
      </w:r>
      <w:permStart w:id="1" w:edGrp="everyone"/>
      <w:r>
        <w:rPr>
          <w:rFonts w:hint="eastAsia" w:ascii="宋体" w:hAnsi="宋体" w:cs="宋体"/>
          <w:color w:val="auto"/>
          <w:kern w:val="0"/>
          <w:sz w:val="24"/>
          <w:szCs w:val="24"/>
          <w:highlight w:val="none"/>
          <w:u w:val="single"/>
        </w:rPr>
        <w:t xml:space="preserve">   8</w:t>
      </w:r>
      <w:r>
        <w:rPr>
          <w:rFonts w:hint="eastAsia" w:ascii="宋体" w:hAnsi="宋体" w:cs="宋体"/>
          <w:color w:val="auto"/>
          <w:kern w:val="0"/>
          <w:sz w:val="24"/>
          <w:szCs w:val="24"/>
          <w:highlight w:val="none"/>
          <w:u w:val="single"/>
          <w:lang w:eastAsia="zh-CN"/>
        </w:rPr>
        <w:t>（</w:t>
      </w:r>
      <w:r>
        <w:rPr>
          <w:rFonts w:hint="eastAsia" w:ascii="宋体" w:hAnsi="宋体" w:cs="宋体"/>
          <w:color w:val="auto"/>
          <w:kern w:val="0"/>
          <w:sz w:val="24"/>
          <w:szCs w:val="24"/>
          <w:highlight w:val="none"/>
          <w:u w:val="single"/>
          <w:lang w:val="en-US" w:eastAsia="zh-CN"/>
        </w:rPr>
        <w:t>1#、2#</w:t>
      </w:r>
      <w:r>
        <w:rPr>
          <w:rFonts w:hint="eastAsia" w:ascii="宋体" w:hAnsi="宋体" w:cs="宋体"/>
          <w:color w:val="auto"/>
          <w:kern w:val="0"/>
          <w:sz w:val="24"/>
          <w:szCs w:val="24"/>
          <w:highlight w:val="none"/>
          <w:u w:val="single"/>
          <w:lang w:eastAsia="zh-CN"/>
        </w:rPr>
        <w:t>）</w:t>
      </w:r>
      <w:r>
        <w:rPr>
          <w:rFonts w:hint="eastAsia" w:ascii="宋体" w:hAnsi="宋体" w:cs="宋体"/>
          <w:color w:val="auto"/>
          <w:kern w:val="0"/>
          <w:sz w:val="24"/>
          <w:szCs w:val="24"/>
          <w:highlight w:val="none"/>
          <w:u w:val="single"/>
        </w:rPr>
        <w:t xml:space="preserve"> </w:t>
      </w:r>
      <w:r>
        <w:rPr>
          <w:rFonts w:hint="eastAsia" w:ascii="宋体" w:hAnsi="宋体" w:cs="宋体"/>
          <w:color w:val="auto"/>
          <w:kern w:val="0"/>
          <w:sz w:val="24"/>
          <w:szCs w:val="24"/>
          <w:highlight w:val="none"/>
          <w:u w:val="single"/>
          <w:lang w:val="en-US" w:eastAsia="zh-CN"/>
        </w:rPr>
        <w:t>11（3#、4#）</w:t>
      </w:r>
      <w:r>
        <w:rPr>
          <w:rFonts w:hint="eastAsia" w:ascii="宋体" w:hAnsi="宋体" w:cs="宋体"/>
          <w:color w:val="auto"/>
          <w:kern w:val="0"/>
          <w:sz w:val="24"/>
          <w:szCs w:val="24"/>
          <w:highlight w:val="none"/>
          <w:u w:val="single"/>
        </w:rPr>
        <w:t xml:space="preserve">  </w:t>
      </w:r>
      <w:permEnd w:id="1"/>
      <w:r>
        <w:rPr>
          <w:rFonts w:hint="eastAsia" w:ascii="宋体" w:hAnsi="宋体" w:cs="宋体"/>
          <w:color w:val="auto"/>
          <w:kern w:val="0"/>
          <w:sz w:val="24"/>
          <w:szCs w:val="24"/>
          <w:highlight w:val="none"/>
        </w:rPr>
        <w:t>层，地下</w:t>
      </w:r>
      <w:permStart w:id="2" w:edGrp="everyone"/>
      <w:r>
        <w:rPr>
          <w:rFonts w:hint="eastAsia" w:ascii="宋体" w:hAnsi="宋体" w:cs="宋体"/>
          <w:color w:val="auto"/>
          <w:kern w:val="0"/>
          <w:sz w:val="24"/>
          <w:szCs w:val="24"/>
          <w:highlight w:val="none"/>
          <w:u w:val="single"/>
        </w:rPr>
        <w:t xml:space="preserve">  1  </w:t>
      </w:r>
      <w:permEnd w:id="2"/>
      <w:r>
        <w:rPr>
          <w:rFonts w:hint="eastAsia" w:ascii="宋体" w:hAnsi="宋体" w:cs="宋体"/>
          <w:color w:val="auto"/>
          <w:kern w:val="0"/>
          <w:sz w:val="24"/>
          <w:szCs w:val="24"/>
          <w:highlight w:val="none"/>
        </w:rPr>
        <w:t>层</w:t>
      </w:r>
      <w:r>
        <w:rPr>
          <w:rFonts w:ascii="宋体" w:hAnsi="宋体" w:eastAsia="宋体" w:cs="宋体"/>
          <w:color w:val="auto"/>
          <w:sz w:val="24"/>
          <w:highlight w:val="none"/>
        </w:rPr>
        <w:t>。</w:t>
      </w:r>
    </w:p>
    <w:p w14:paraId="5C8D0B58">
      <w:pPr>
        <w:shd w:val="clear"/>
        <w:spacing w:line="300" w:lineRule="auto"/>
        <w:ind w:firstLine="480" w:firstLineChars="200"/>
        <w:rPr>
          <w:color w:val="auto"/>
          <w:highlight w:val="none"/>
        </w:rPr>
      </w:pPr>
      <w:r>
        <w:rPr>
          <w:rFonts w:ascii="宋体" w:hAnsi="宋体" w:eastAsia="宋体" w:cs="宋体"/>
          <w:color w:val="auto"/>
          <w:sz w:val="24"/>
          <w:highlight w:val="none"/>
        </w:rPr>
        <w:t>3．该商品房为第一条规定项目中的</w:t>
      </w:r>
      <w:r>
        <w:rPr>
          <w:rFonts w:ascii="宋体" w:hAnsi="宋体" w:eastAsia="宋体" w:cs="宋体"/>
          <w:color w:val="auto"/>
          <w:sz w:val="24"/>
          <w:highlight w:val="none"/>
          <w:u w:val="single"/>
        </w:rPr>
        <w:t xml:space="preserve">     </w:t>
      </w:r>
      <w:r>
        <w:rPr>
          <w:rFonts w:ascii="宋体" w:hAnsi="宋体" w:eastAsia="宋体" w:cs="宋体"/>
          <w:color w:val="auto"/>
          <w:sz w:val="24"/>
          <w:highlight w:val="none"/>
        </w:rPr>
        <w:t>【幢】</w:t>
      </w:r>
      <w:r>
        <w:rPr>
          <w:rFonts w:ascii="宋体" w:hAnsi="宋体" w:eastAsia="宋体" w:cs="宋体"/>
          <w:color w:val="auto"/>
          <w:sz w:val="24"/>
          <w:highlight w:val="none"/>
          <w:u w:val="single"/>
        </w:rPr>
        <w:t xml:space="preserve">    </w:t>
      </w:r>
      <w:r>
        <w:rPr>
          <w:rFonts w:ascii="宋体" w:hAnsi="宋体" w:eastAsia="宋体" w:cs="宋体"/>
          <w:color w:val="auto"/>
          <w:sz w:val="24"/>
          <w:highlight w:val="none"/>
        </w:rPr>
        <w:t>单元</w:t>
      </w:r>
      <w:r>
        <w:rPr>
          <w:rFonts w:ascii="宋体" w:hAnsi="宋体" w:eastAsia="宋体" w:cs="宋体"/>
          <w:color w:val="auto"/>
          <w:sz w:val="24"/>
          <w:highlight w:val="none"/>
          <w:u w:val="single"/>
        </w:rPr>
        <w:t xml:space="preserve">     </w:t>
      </w:r>
      <w:r>
        <w:rPr>
          <w:rFonts w:ascii="宋体" w:hAnsi="宋体" w:eastAsia="宋体" w:cs="宋体"/>
          <w:color w:val="auto"/>
          <w:sz w:val="24"/>
          <w:highlight w:val="none"/>
        </w:rPr>
        <w:t xml:space="preserve"> 号。房屋竣工后，如房号发生改变，不影响该商品房的特定位置。该商品房的平面图见附件一。</w:t>
      </w:r>
    </w:p>
    <w:p w14:paraId="4D1FC29C">
      <w:pPr>
        <w:shd w:val="clear"/>
        <w:spacing w:line="300" w:lineRule="auto"/>
        <w:ind w:firstLine="480" w:firstLineChars="200"/>
        <w:rPr>
          <w:color w:val="auto"/>
          <w:highlight w:val="none"/>
        </w:rPr>
      </w:pPr>
      <w:r>
        <w:rPr>
          <w:rFonts w:ascii="宋体" w:hAnsi="宋体" w:eastAsia="宋体" w:cs="宋体"/>
          <w:color w:val="auto"/>
          <w:sz w:val="24"/>
          <w:highlight w:val="none"/>
        </w:rPr>
        <w:t>4.该商品房的房产测绘机构为</w:t>
      </w:r>
      <w:r>
        <w:rPr>
          <w:rFonts w:ascii="宋体" w:hAnsi="宋体" w:eastAsia="宋体" w:cs="宋体"/>
          <w:color w:val="auto"/>
          <w:sz w:val="24"/>
          <w:highlight w:val="none"/>
          <w:u w:val="single"/>
        </w:rPr>
        <w:t xml:space="preserve">  </w:t>
      </w:r>
      <w:r>
        <w:rPr>
          <w:rFonts w:ascii="宋体" w:hAnsi="宋体" w:eastAsia="宋体" w:cs="宋体"/>
          <w:color w:val="auto"/>
          <w:w w:val="99"/>
          <w:sz w:val="24"/>
          <w:highlight w:val="none"/>
          <w:u w:val="single"/>
        </w:rPr>
        <w:t>无锡市曦晨测绘有限公司  ，</w:t>
      </w:r>
      <w:r>
        <w:rPr>
          <w:rFonts w:ascii="宋体" w:hAnsi="宋体" w:eastAsia="宋体" w:cs="宋体"/>
          <w:color w:val="auto"/>
          <w:sz w:val="24"/>
          <w:highlight w:val="none"/>
        </w:rPr>
        <w:t>其预测建筑面积共</w:t>
      </w:r>
      <w:r>
        <w:rPr>
          <w:rFonts w:ascii="宋体" w:hAnsi="宋体" w:eastAsia="宋体" w:cs="宋体"/>
          <w:color w:val="auto"/>
          <w:w w:val="99"/>
          <w:sz w:val="24"/>
          <w:highlight w:val="none"/>
          <w:u w:val="single"/>
        </w:rPr>
        <w:t xml:space="preserve">     </w:t>
      </w:r>
      <w:r>
        <w:rPr>
          <w:rFonts w:ascii="宋体" w:hAnsi="宋体" w:eastAsia="宋体" w:cs="宋体"/>
          <w:color w:val="auto"/>
          <w:sz w:val="24"/>
          <w:highlight w:val="none"/>
        </w:rPr>
        <w:t>平方米，其中套内建筑面积</w:t>
      </w:r>
      <w:r>
        <w:rPr>
          <w:rFonts w:ascii="宋体" w:hAnsi="宋体" w:eastAsia="宋体" w:cs="宋体"/>
          <w:color w:val="auto"/>
          <w:w w:val="99"/>
          <w:sz w:val="24"/>
          <w:highlight w:val="none"/>
          <w:u w:val="single"/>
        </w:rPr>
        <w:t xml:space="preserve">     </w:t>
      </w:r>
      <w:r>
        <w:rPr>
          <w:rFonts w:ascii="宋体" w:hAnsi="宋体" w:eastAsia="宋体" w:cs="宋体"/>
          <w:color w:val="auto"/>
          <w:sz w:val="24"/>
          <w:highlight w:val="none"/>
        </w:rPr>
        <w:t>平方米，分摊共有建筑面积</w:t>
      </w:r>
      <w:r>
        <w:rPr>
          <w:rFonts w:ascii="宋体" w:hAnsi="宋体" w:eastAsia="宋体" w:cs="宋体"/>
          <w:color w:val="auto"/>
          <w:w w:val="99"/>
          <w:sz w:val="24"/>
          <w:highlight w:val="none"/>
          <w:u w:val="single"/>
        </w:rPr>
        <w:t xml:space="preserve">      </w:t>
      </w:r>
      <w:r>
        <w:rPr>
          <w:rFonts w:ascii="宋体" w:hAnsi="宋体" w:eastAsia="宋体" w:cs="宋体"/>
          <w:color w:val="auto"/>
          <w:sz w:val="24"/>
          <w:highlight w:val="none"/>
        </w:rPr>
        <w:t>平方米。该商品房公用部位见附件二。</w:t>
      </w:r>
    </w:p>
    <w:p w14:paraId="7FCC1D59">
      <w:pPr>
        <w:shd w:val="clear"/>
        <w:spacing w:line="300" w:lineRule="auto"/>
        <w:ind w:firstLine="480" w:firstLineChars="200"/>
        <w:rPr>
          <w:highlight w:val="none"/>
        </w:rPr>
      </w:pPr>
      <w:r>
        <w:rPr>
          <w:rFonts w:ascii="宋体" w:hAnsi="宋体" w:eastAsia="宋体" w:cs="宋体"/>
          <w:color w:val="auto"/>
          <w:sz w:val="24"/>
          <w:highlight w:val="none"/>
        </w:rPr>
        <w:t>该商品房层高为</w:t>
      </w:r>
      <w:permStart w:id="3" w:edGrp="everyone"/>
      <w:r>
        <w:rPr>
          <w:rFonts w:hint="eastAsia" w:ascii="宋体" w:hAnsi="宋体" w:cs="宋体"/>
          <w:color w:val="auto"/>
          <w:kern w:val="0"/>
          <w:sz w:val="24"/>
          <w:szCs w:val="24"/>
          <w:highlight w:val="none"/>
        </w:rPr>
        <w:t xml:space="preserve"> </w:t>
      </w:r>
      <w:r>
        <w:rPr>
          <w:rFonts w:hint="eastAsia" w:ascii="宋体" w:hAnsi="宋体" w:cs="宋体"/>
          <w:color w:val="auto"/>
          <w:kern w:val="0"/>
          <w:sz w:val="24"/>
          <w:szCs w:val="24"/>
          <w:highlight w:val="none"/>
          <w:u w:val="single"/>
        </w:rPr>
        <w:t xml:space="preserve">  3.15</w:t>
      </w:r>
      <w:r>
        <w:rPr>
          <w:rFonts w:hint="eastAsia" w:ascii="宋体" w:hAnsi="宋体" w:cs="宋体"/>
          <w:color w:val="auto"/>
          <w:kern w:val="0"/>
          <w:sz w:val="24"/>
          <w:szCs w:val="24"/>
          <w:highlight w:val="none"/>
          <w:u w:val="single"/>
          <w:lang w:eastAsia="zh-CN"/>
        </w:rPr>
        <w:t>（</w:t>
      </w:r>
      <w:r>
        <w:rPr>
          <w:rFonts w:hint="eastAsia" w:ascii="宋体" w:hAnsi="宋体" w:cs="宋体"/>
          <w:color w:val="auto"/>
          <w:kern w:val="0"/>
          <w:sz w:val="24"/>
          <w:szCs w:val="24"/>
          <w:highlight w:val="none"/>
          <w:u w:val="single"/>
          <w:lang w:val="en-US" w:eastAsia="zh-CN"/>
        </w:rPr>
        <w:t>1#、2#</w:t>
      </w:r>
      <w:r>
        <w:rPr>
          <w:rFonts w:hint="eastAsia" w:ascii="宋体" w:hAnsi="宋体" w:cs="宋体"/>
          <w:color w:val="auto"/>
          <w:kern w:val="0"/>
          <w:sz w:val="24"/>
          <w:szCs w:val="24"/>
          <w:highlight w:val="none"/>
          <w:u w:val="single"/>
          <w:lang w:eastAsia="zh-CN"/>
        </w:rPr>
        <w:t>）</w:t>
      </w:r>
      <w:r>
        <w:rPr>
          <w:rFonts w:hint="eastAsia" w:ascii="宋体" w:hAnsi="宋体" w:cs="宋体"/>
          <w:color w:val="auto"/>
          <w:kern w:val="0"/>
          <w:sz w:val="24"/>
          <w:szCs w:val="24"/>
          <w:highlight w:val="none"/>
          <w:u w:val="single"/>
          <w:lang w:val="en-US" w:eastAsia="zh-CN"/>
        </w:rPr>
        <w:t>2.95（3#、4#）</w:t>
      </w:r>
      <w:r>
        <w:rPr>
          <w:rFonts w:hint="eastAsia" w:ascii="宋体" w:hAnsi="宋体" w:cs="宋体"/>
          <w:color w:val="auto"/>
          <w:kern w:val="0"/>
          <w:sz w:val="24"/>
          <w:szCs w:val="24"/>
          <w:highlight w:val="none"/>
          <w:u w:val="single"/>
        </w:rPr>
        <w:t xml:space="preserve">   </w:t>
      </w:r>
      <w:permEnd w:id="3"/>
      <w:r>
        <w:rPr>
          <w:rFonts w:ascii="宋体" w:hAnsi="宋体" w:eastAsia="宋体" w:cs="宋体"/>
          <w:color w:val="auto"/>
          <w:sz w:val="24"/>
          <w:highlight w:val="none"/>
        </w:rPr>
        <w:t>米，有</w:t>
      </w:r>
      <w:r>
        <w:rPr>
          <w:rFonts w:ascii="宋体" w:hAnsi="宋体" w:eastAsia="宋体" w:cs="宋体"/>
          <w:color w:val="auto"/>
          <w:sz w:val="24"/>
          <w:highlight w:val="none"/>
          <w:u w:val="single"/>
        </w:rPr>
        <w:t xml:space="preserve"> 1 </w:t>
      </w:r>
      <w:r>
        <w:rPr>
          <w:rFonts w:ascii="宋体" w:hAnsi="宋体" w:eastAsia="宋体" w:cs="宋体"/>
          <w:color w:val="auto"/>
          <w:sz w:val="24"/>
          <w:highlight w:val="none"/>
        </w:rPr>
        <w:t>个阳台，其中</w:t>
      </w:r>
      <w:r>
        <w:rPr>
          <w:rFonts w:ascii="宋体" w:hAnsi="宋体" w:eastAsia="宋体" w:cs="宋体"/>
          <w:color w:val="auto"/>
          <w:sz w:val="24"/>
          <w:highlight w:val="none"/>
          <w:u w:val="single"/>
        </w:rPr>
        <w:t xml:space="preserve">  0  </w:t>
      </w:r>
      <w:r>
        <w:rPr>
          <w:rFonts w:ascii="宋体" w:hAnsi="宋体" w:eastAsia="宋体" w:cs="宋体"/>
          <w:color w:val="000000"/>
          <w:sz w:val="24"/>
          <w:highlight w:val="none"/>
        </w:rPr>
        <w:t>个阳台为封闭式，</w:t>
      </w:r>
      <w:r>
        <w:rPr>
          <w:rFonts w:ascii="宋体" w:hAnsi="宋体" w:eastAsia="宋体" w:cs="宋体"/>
          <w:color w:val="000000"/>
          <w:w w:val="99"/>
          <w:sz w:val="24"/>
          <w:highlight w:val="none"/>
          <w:u w:val="single"/>
        </w:rPr>
        <w:t xml:space="preserve">  1  </w:t>
      </w:r>
      <w:r>
        <w:rPr>
          <w:rFonts w:ascii="宋体" w:hAnsi="宋体" w:eastAsia="宋体" w:cs="宋体"/>
          <w:color w:val="000000"/>
          <w:sz w:val="24"/>
          <w:highlight w:val="none"/>
        </w:rPr>
        <w:t>个阳台为非封闭式。阳台是否封闭以规划设计文件为准。</w:t>
      </w:r>
    </w:p>
    <w:p w14:paraId="22D12527">
      <w:pPr>
        <w:spacing w:line="300" w:lineRule="auto"/>
        <w:ind w:firstLine="482" w:firstLineChars="200"/>
        <w:rPr>
          <w:highlight w:val="none"/>
        </w:rPr>
      </w:pPr>
      <w:r>
        <w:rPr>
          <w:rFonts w:ascii="宋体" w:hAnsi="宋体" w:eastAsia="宋体" w:cs="宋体"/>
          <w:b/>
          <w:color w:val="000000"/>
          <w:sz w:val="24"/>
          <w:highlight w:val="none"/>
        </w:rPr>
        <w:t>第四条  抵押情况</w:t>
      </w:r>
    </w:p>
    <w:p w14:paraId="366BF6D5">
      <w:pPr>
        <w:tabs>
          <w:tab w:val="left" w:pos="1020"/>
        </w:tabs>
        <w:spacing w:line="300" w:lineRule="auto"/>
        <w:ind w:firstLine="480" w:firstLineChars="200"/>
      </w:pPr>
      <w:r>
        <w:rPr>
          <w:rFonts w:ascii="宋体" w:hAnsi="宋体" w:eastAsia="宋体" w:cs="宋体"/>
          <w:color w:val="000000"/>
          <w:sz w:val="24"/>
        </w:rPr>
        <w:t>与该商品房及所占用土地有关的抵押情况为【</w:t>
      </w:r>
      <w:r>
        <w:rPr>
          <w:rFonts w:ascii="宋体" w:hAnsi="宋体" w:eastAsia="宋体" w:cs="宋体"/>
          <w:color w:val="000000"/>
          <w:sz w:val="24"/>
          <w:u w:val="single"/>
        </w:rPr>
        <w:t>抵押</w:t>
      </w:r>
      <w:r>
        <w:rPr>
          <w:rFonts w:ascii="宋体" w:hAnsi="宋体" w:eastAsia="宋体" w:cs="宋体"/>
          <w:color w:val="000000"/>
          <w:sz w:val="24"/>
        </w:rPr>
        <w:t>】。</w:t>
      </w:r>
    </w:p>
    <w:p w14:paraId="311E89EF">
      <w:pPr>
        <w:spacing w:line="300" w:lineRule="auto"/>
        <w:ind w:firstLine="480" w:firstLineChars="200"/>
      </w:pPr>
      <w:r>
        <w:rPr>
          <w:rFonts w:ascii="宋体" w:hAnsi="宋体" w:eastAsia="宋体" w:cs="宋体"/>
          <w:color w:val="000000"/>
          <w:sz w:val="24"/>
        </w:rPr>
        <w:t>抵押类型</w:t>
      </w:r>
      <w:r>
        <w:rPr>
          <w:rFonts w:ascii="宋体" w:hAnsi="宋体" w:eastAsia="宋体" w:cs="宋体"/>
          <w:color w:val="000000"/>
          <w:sz w:val="24"/>
          <w:u w:val="single"/>
        </w:rPr>
        <w:t xml:space="preserve">：土地抵押  </w:t>
      </w:r>
      <w:r>
        <w:rPr>
          <w:rFonts w:ascii="宋体" w:hAnsi="宋体" w:eastAsia="宋体" w:cs="宋体"/>
          <w:color w:val="000000"/>
          <w:sz w:val="24"/>
        </w:rPr>
        <w:t>，抵押人：</w:t>
      </w:r>
      <w:r>
        <w:rPr>
          <w:rFonts w:ascii="宋体" w:hAnsi="宋体" w:eastAsia="宋体" w:cs="宋体"/>
          <w:color w:val="000000"/>
          <w:sz w:val="24"/>
          <w:u w:val="single"/>
        </w:rPr>
        <w:t xml:space="preserve">  无锡山水嘉泰置业有限公司  </w:t>
      </w:r>
      <w:r>
        <w:rPr>
          <w:rFonts w:ascii="宋体" w:hAnsi="宋体" w:eastAsia="宋体" w:cs="宋体"/>
          <w:color w:val="000000"/>
          <w:sz w:val="24"/>
        </w:rPr>
        <w:t>，</w:t>
      </w:r>
    </w:p>
    <w:p w14:paraId="0869E8B9">
      <w:pPr>
        <w:spacing w:line="300" w:lineRule="auto"/>
        <w:ind w:firstLine="480" w:firstLineChars="200"/>
      </w:pPr>
      <w:r>
        <w:rPr>
          <w:rFonts w:ascii="宋体" w:hAnsi="宋体" w:eastAsia="宋体" w:cs="宋体"/>
          <w:color w:val="000000"/>
          <w:sz w:val="24"/>
        </w:rPr>
        <w:t>抵押权人：</w:t>
      </w:r>
      <w:r>
        <w:rPr>
          <w:rFonts w:ascii="宋体" w:hAnsi="宋体" w:eastAsia="宋体" w:cs="宋体"/>
          <w:color w:val="000000"/>
          <w:sz w:val="24"/>
          <w:u w:val="single"/>
        </w:rPr>
        <w:t xml:space="preserve"> 苏州银行股份有限公司无锡分行 </w:t>
      </w:r>
      <w:r>
        <w:rPr>
          <w:rFonts w:ascii="宋体" w:hAnsi="宋体" w:eastAsia="宋体" w:cs="宋体"/>
          <w:color w:val="000000"/>
          <w:sz w:val="24"/>
        </w:rPr>
        <w:t>，抵押登记机构：</w:t>
      </w:r>
      <w:r>
        <w:rPr>
          <w:rFonts w:ascii="宋体" w:hAnsi="宋体" w:eastAsia="宋体" w:cs="宋体"/>
          <w:color w:val="000000"/>
          <w:sz w:val="24"/>
          <w:u w:val="single"/>
        </w:rPr>
        <w:t xml:space="preserve">  无锡市自然资源和规划局  </w:t>
      </w:r>
      <w:r>
        <w:rPr>
          <w:rFonts w:ascii="宋体" w:hAnsi="宋体" w:eastAsia="宋体" w:cs="宋体"/>
          <w:color w:val="000000"/>
          <w:sz w:val="24"/>
        </w:rPr>
        <w:t>，</w:t>
      </w:r>
    </w:p>
    <w:p w14:paraId="66C03391">
      <w:pPr>
        <w:spacing w:line="300" w:lineRule="auto"/>
        <w:ind w:firstLine="480" w:firstLineChars="200"/>
      </w:pPr>
      <w:r>
        <w:rPr>
          <w:rFonts w:ascii="宋体" w:hAnsi="宋体" w:eastAsia="宋体" w:cs="宋体"/>
          <w:color w:val="000000"/>
          <w:sz w:val="24"/>
        </w:rPr>
        <w:t>抵押登记日期：</w:t>
      </w:r>
      <w:r>
        <w:rPr>
          <w:rFonts w:ascii="宋体" w:hAnsi="宋体" w:eastAsia="宋体" w:cs="宋体"/>
          <w:color w:val="000000"/>
          <w:sz w:val="24"/>
          <w:u w:val="single"/>
        </w:rPr>
        <w:t xml:space="preserve"> 2025年5月30日 </w:t>
      </w:r>
      <w:r>
        <w:rPr>
          <w:rFonts w:ascii="宋体" w:hAnsi="宋体" w:eastAsia="宋体" w:cs="宋体"/>
          <w:color w:val="000000"/>
          <w:sz w:val="24"/>
        </w:rPr>
        <w:t>，债务履行期限：</w:t>
      </w:r>
      <w:r>
        <w:rPr>
          <w:rFonts w:ascii="宋体" w:hAnsi="宋体" w:eastAsia="宋体" w:cs="宋体"/>
          <w:color w:val="000000"/>
          <w:sz w:val="24"/>
          <w:u w:val="single"/>
        </w:rPr>
        <w:t xml:space="preserve">  2025年5月26日至2030年4月26日  </w:t>
      </w:r>
      <w:r>
        <w:rPr>
          <w:rFonts w:ascii="宋体" w:hAnsi="宋体" w:eastAsia="宋体" w:cs="宋体"/>
          <w:color w:val="000000"/>
          <w:sz w:val="24"/>
        </w:rPr>
        <w:t xml:space="preserve"> 。</w:t>
      </w:r>
    </w:p>
    <w:p w14:paraId="5FB82094">
      <w:pPr>
        <w:spacing w:line="300" w:lineRule="auto"/>
        <w:ind w:firstLine="480" w:firstLineChars="200"/>
      </w:pPr>
      <w:r>
        <w:rPr>
          <w:rFonts w:ascii="宋体" w:hAnsi="宋体" w:eastAsia="宋体" w:cs="宋体"/>
          <w:color w:val="000000"/>
          <w:sz w:val="24"/>
        </w:rPr>
        <w:t xml:space="preserve">抵押类型： </w:t>
      </w:r>
      <w:r>
        <w:rPr>
          <w:rFonts w:ascii="宋体" w:hAnsi="宋体" w:eastAsia="宋体" w:cs="宋体"/>
          <w:color w:val="000000"/>
          <w:sz w:val="24"/>
          <w:u w:val="single"/>
        </w:rPr>
        <w:t xml:space="preserve">   /  </w:t>
      </w:r>
      <w:r>
        <w:rPr>
          <w:rFonts w:ascii="宋体" w:hAnsi="宋体" w:eastAsia="宋体" w:cs="宋体"/>
          <w:color w:val="000000"/>
          <w:sz w:val="24"/>
        </w:rPr>
        <w:t>，抵押人：</w:t>
      </w:r>
      <w:r>
        <w:rPr>
          <w:rFonts w:ascii="宋体" w:hAnsi="宋体" w:eastAsia="宋体" w:cs="宋体"/>
          <w:color w:val="000000"/>
          <w:sz w:val="24"/>
          <w:u w:val="single"/>
        </w:rPr>
        <w:t xml:space="preserve">     /      </w:t>
      </w:r>
      <w:r>
        <w:rPr>
          <w:rFonts w:ascii="宋体" w:hAnsi="宋体" w:eastAsia="宋体" w:cs="宋体"/>
          <w:color w:val="000000"/>
          <w:sz w:val="24"/>
        </w:rPr>
        <w:t>，</w:t>
      </w:r>
    </w:p>
    <w:p w14:paraId="216EDCD7">
      <w:pPr>
        <w:spacing w:line="300" w:lineRule="auto"/>
        <w:ind w:firstLine="480" w:firstLineChars="200"/>
      </w:pPr>
      <w:r>
        <w:rPr>
          <w:rFonts w:ascii="宋体" w:hAnsi="宋体" w:eastAsia="宋体" w:cs="宋体"/>
          <w:color w:val="000000"/>
          <w:sz w:val="24"/>
        </w:rPr>
        <w:t>抵押权人：</w:t>
      </w:r>
      <w:r>
        <w:rPr>
          <w:rFonts w:ascii="宋体" w:hAnsi="宋体" w:eastAsia="宋体" w:cs="宋体"/>
          <w:color w:val="000000"/>
          <w:sz w:val="24"/>
          <w:u w:val="single"/>
        </w:rPr>
        <w:t xml:space="preserve">   / </w:t>
      </w:r>
      <w:r>
        <w:rPr>
          <w:rFonts w:ascii="宋体" w:hAnsi="宋体" w:eastAsia="宋体" w:cs="宋体"/>
          <w:color w:val="000000"/>
          <w:sz w:val="24"/>
        </w:rPr>
        <w:t>，抵押登记机构：</w:t>
      </w:r>
      <w:r>
        <w:rPr>
          <w:rFonts w:ascii="宋体" w:hAnsi="宋体" w:eastAsia="宋体" w:cs="宋体"/>
          <w:color w:val="000000"/>
          <w:sz w:val="24"/>
          <w:u w:val="single"/>
        </w:rPr>
        <w:t xml:space="preserve"> /   </w:t>
      </w:r>
      <w:r>
        <w:rPr>
          <w:rFonts w:ascii="宋体" w:hAnsi="宋体" w:eastAsia="宋体" w:cs="宋体"/>
          <w:color w:val="000000"/>
          <w:sz w:val="24"/>
        </w:rPr>
        <w:t>，</w:t>
      </w:r>
    </w:p>
    <w:p w14:paraId="6545B182">
      <w:pPr>
        <w:spacing w:line="300" w:lineRule="auto"/>
        <w:ind w:firstLine="480" w:firstLineChars="200"/>
      </w:pPr>
      <w:r>
        <w:rPr>
          <w:rFonts w:ascii="宋体" w:hAnsi="宋体" w:eastAsia="宋体" w:cs="宋体"/>
          <w:color w:val="000000"/>
          <w:sz w:val="24"/>
        </w:rPr>
        <w:t>抵押登记日期：</w:t>
      </w:r>
      <w:r>
        <w:rPr>
          <w:rFonts w:ascii="宋体" w:hAnsi="宋体" w:eastAsia="宋体" w:cs="宋体"/>
          <w:color w:val="000000"/>
          <w:sz w:val="24"/>
          <w:u w:val="single"/>
        </w:rPr>
        <w:t xml:space="preserve"> /  </w:t>
      </w:r>
      <w:r>
        <w:rPr>
          <w:rFonts w:ascii="宋体" w:hAnsi="宋体" w:eastAsia="宋体" w:cs="宋体"/>
          <w:color w:val="000000"/>
          <w:sz w:val="24"/>
        </w:rPr>
        <w:t>，债务履行期限：</w:t>
      </w:r>
      <w:r>
        <w:rPr>
          <w:rFonts w:ascii="宋体" w:hAnsi="宋体" w:eastAsia="宋体" w:cs="宋体"/>
          <w:color w:val="000000"/>
          <w:sz w:val="24"/>
          <w:u w:val="single"/>
        </w:rPr>
        <w:t xml:space="preserve"> /   </w:t>
      </w:r>
      <w:r>
        <w:rPr>
          <w:rFonts w:ascii="宋体" w:hAnsi="宋体" w:eastAsia="宋体" w:cs="宋体"/>
          <w:color w:val="000000"/>
          <w:sz w:val="24"/>
        </w:rPr>
        <w:t>。</w:t>
      </w:r>
    </w:p>
    <w:p w14:paraId="22E4491E">
      <w:pPr>
        <w:spacing w:line="300" w:lineRule="auto"/>
        <w:ind w:firstLine="480" w:firstLineChars="200"/>
      </w:pPr>
      <w:r>
        <w:rPr>
          <w:rFonts w:ascii="宋体" w:hAnsi="宋体" w:eastAsia="宋体" w:cs="宋体"/>
          <w:color w:val="000000"/>
          <w:sz w:val="24"/>
        </w:rPr>
        <w:t xml:space="preserve">抵押类型： </w:t>
      </w:r>
      <w:r>
        <w:rPr>
          <w:rFonts w:ascii="宋体" w:hAnsi="宋体" w:eastAsia="宋体" w:cs="宋体"/>
          <w:color w:val="000000"/>
          <w:sz w:val="24"/>
          <w:u w:val="single"/>
        </w:rPr>
        <w:t xml:space="preserve">   /   </w:t>
      </w:r>
      <w:r>
        <w:rPr>
          <w:rFonts w:ascii="宋体" w:hAnsi="宋体" w:eastAsia="宋体" w:cs="宋体"/>
          <w:color w:val="000000"/>
          <w:sz w:val="24"/>
        </w:rPr>
        <w:t xml:space="preserve">，抵押人：  </w:t>
      </w:r>
      <w:r>
        <w:rPr>
          <w:rFonts w:ascii="宋体" w:hAnsi="宋体" w:eastAsia="宋体" w:cs="宋体"/>
          <w:color w:val="000000"/>
          <w:sz w:val="24"/>
          <w:u w:val="single"/>
        </w:rPr>
        <w:t xml:space="preserve">     /      </w:t>
      </w:r>
      <w:r>
        <w:rPr>
          <w:rFonts w:ascii="宋体" w:hAnsi="宋体" w:eastAsia="宋体" w:cs="宋体"/>
          <w:color w:val="000000"/>
          <w:sz w:val="24"/>
        </w:rPr>
        <w:t>，</w:t>
      </w:r>
    </w:p>
    <w:p w14:paraId="19C138D8">
      <w:pPr>
        <w:spacing w:line="300" w:lineRule="auto"/>
        <w:ind w:firstLine="480" w:firstLineChars="200"/>
      </w:pPr>
      <w:r>
        <w:rPr>
          <w:rFonts w:ascii="宋体" w:hAnsi="宋体" w:eastAsia="宋体" w:cs="宋体"/>
          <w:color w:val="000000"/>
          <w:sz w:val="24"/>
        </w:rPr>
        <w:t>抵押权人：</w:t>
      </w:r>
      <w:r>
        <w:rPr>
          <w:rFonts w:ascii="宋体" w:hAnsi="宋体" w:eastAsia="宋体" w:cs="宋体"/>
          <w:color w:val="000000"/>
          <w:sz w:val="24"/>
          <w:u w:val="single"/>
        </w:rPr>
        <w:t xml:space="preserve">  /   </w:t>
      </w:r>
      <w:r>
        <w:rPr>
          <w:rFonts w:ascii="宋体" w:hAnsi="宋体" w:eastAsia="宋体" w:cs="宋体"/>
          <w:color w:val="000000"/>
          <w:sz w:val="24"/>
        </w:rPr>
        <w:t>，抵押登记机构：</w:t>
      </w:r>
      <w:r>
        <w:rPr>
          <w:rFonts w:ascii="宋体" w:hAnsi="宋体" w:eastAsia="宋体" w:cs="宋体"/>
          <w:color w:val="000000"/>
          <w:sz w:val="24"/>
          <w:u w:val="single"/>
        </w:rPr>
        <w:t xml:space="preserve"> /  </w:t>
      </w:r>
      <w:r>
        <w:rPr>
          <w:rFonts w:ascii="宋体" w:hAnsi="宋体" w:eastAsia="宋体" w:cs="宋体"/>
          <w:color w:val="000000"/>
          <w:sz w:val="24"/>
        </w:rPr>
        <w:t>，</w:t>
      </w:r>
    </w:p>
    <w:p w14:paraId="7A10483A">
      <w:pPr>
        <w:spacing w:line="300" w:lineRule="auto"/>
        <w:ind w:firstLine="480" w:firstLineChars="200"/>
      </w:pPr>
      <w:r>
        <w:rPr>
          <w:rFonts w:ascii="宋体" w:hAnsi="宋体" w:eastAsia="宋体" w:cs="宋体"/>
          <w:color w:val="000000"/>
          <w:sz w:val="24"/>
        </w:rPr>
        <w:t>抵押登记日期：</w:t>
      </w:r>
      <w:r>
        <w:rPr>
          <w:rFonts w:ascii="宋体" w:hAnsi="宋体" w:eastAsia="宋体" w:cs="宋体"/>
          <w:color w:val="000000"/>
          <w:sz w:val="24"/>
          <w:u w:val="single"/>
        </w:rPr>
        <w:t xml:space="preserve">  / </w:t>
      </w:r>
      <w:r>
        <w:rPr>
          <w:rFonts w:ascii="宋体" w:hAnsi="宋体" w:eastAsia="宋体" w:cs="宋体"/>
          <w:color w:val="000000"/>
          <w:sz w:val="24"/>
        </w:rPr>
        <w:t>，债务履行期限：</w:t>
      </w:r>
      <w:r>
        <w:rPr>
          <w:rFonts w:ascii="宋体" w:hAnsi="宋体" w:eastAsia="宋体" w:cs="宋体"/>
          <w:color w:val="000000"/>
          <w:sz w:val="24"/>
          <w:u w:val="single"/>
        </w:rPr>
        <w:t xml:space="preserve">  /  </w:t>
      </w:r>
      <w:r>
        <w:rPr>
          <w:rFonts w:ascii="宋体" w:hAnsi="宋体" w:eastAsia="宋体" w:cs="宋体"/>
          <w:color w:val="000000"/>
          <w:sz w:val="24"/>
        </w:rPr>
        <w:t>。</w:t>
      </w:r>
    </w:p>
    <w:p w14:paraId="108BBD50">
      <w:pPr>
        <w:tabs>
          <w:tab w:val="left" w:pos="1020"/>
        </w:tabs>
        <w:spacing w:line="300" w:lineRule="auto"/>
        <w:ind w:firstLine="480" w:firstLineChars="200"/>
      </w:pPr>
      <w:r>
        <w:rPr>
          <w:rFonts w:ascii="宋体" w:hAnsi="宋体" w:eastAsia="宋体" w:cs="宋体"/>
          <w:color w:val="000000"/>
          <w:sz w:val="24"/>
        </w:rPr>
        <w:t>关于抵押的相关文件（按照现行法律法规要求）及相关约定见附件三。</w:t>
      </w:r>
    </w:p>
    <w:p w14:paraId="60F5ACEF">
      <w:pPr>
        <w:spacing w:line="300" w:lineRule="auto"/>
        <w:ind w:firstLine="482" w:firstLineChars="200"/>
      </w:pPr>
      <w:r>
        <w:rPr>
          <w:rFonts w:ascii="宋体" w:hAnsi="宋体" w:eastAsia="宋体" w:cs="宋体"/>
          <w:b/>
          <w:color w:val="000000"/>
          <w:sz w:val="24"/>
        </w:rPr>
        <w:t>第五条 房屋权利状况承诺</w:t>
      </w:r>
    </w:p>
    <w:p w14:paraId="3FD0908B">
      <w:pPr>
        <w:tabs>
          <w:tab w:val="left" w:pos="860"/>
        </w:tabs>
        <w:spacing w:line="300" w:lineRule="auto"/>
        <w:ind w:firstLine="480" w:firstLineChars="200"/>
      </w:pPr>
      <w:r>
        <w:rPr>
          <w:rFonts w:ascii="宋体" w:hAnsi="宋体" w:eastAsia="宋体" w:cs="宋体"/>
          <w:color w:val="000000"/>
          <w:sz w:val="24"/>
        </w:rPr>
        <w:t xml:space="preserve">1.出卖人对该商品房享有合法权利； </w:t>
      </w:r>
    </w:p>
    <w:p w14:paraId="731E24E9">
      <w:pPr>
        <w:tabs>
          <w:tab w:val="left" w:pos="860"/>
        </w:tabs>
        <w:spacing w:line="300" w:lineRule="auto"/>
        <w:ind w:firstLine="480" w:firstLineChars="200"/>
      </w:pPr>
      <w:r>
        <w:rPr>
          <w:rFonts w:ascii="宋体" w:hAnsi="宋体" w:eastAsia="宋体" w:cs="宋体"/>
          <w:color w:val="000000"/>
          <w:sz w:val="24"/>
        </w:rPr>
        <w:t xml:space="preserve">2.该商品房没有出售给除本合同买受人以外的其他人； </w:t>
      </w:r>
    </w:p>
    <w:p w14:paraId="19F92E3C">
      <w:pPr>
        <w:tabs>
          <w:tab w:val="left" w:pos="860"/>
        </w:tabs>
        <w:spacing w:line="300" w:lineRule="auto"/>
        <w:ind w:firstLine="480" w:firstLineChars="200"/>
      </w:pPr>
      <w:r>
        <w:rPr>
          <w:rFonts w:ascii="宋体" w:hAnsi="宋体" w:eastAsia="宋体" w:cs="宋体"/>
          <w:color w:val="000000"/>
          <w:sz w:val="24"/>
        </w:rPr>
        <w:t xml:space="preserve">3.该商品房没有司法查封或其他限制转让的情况； </w:t>
      </w:r>
    </w:p>
    <w:p w14:paraId="6548CA49">
      <w:pPr>
        <w:tabs>
          <w:tab w:val="left" w:pos="860"/>
        </w:tabs>
        <w:spacing w:line="300" w:lineRule="auto"/>
        <w:ind w:firstLine="480" w:firstLineChars="200"/>
      </w:pPr>
      <w:r>
        <w:rPr>
          <w:rFonts w:ascii="宋体" w:hAnsi="宋体" w:eastAsia="宋体" w:cs="宋体"/>
          <w:color w:val="000000"/>
          <w:sz w:val="24"/>
          <w:u w:val="single"/>
        </w:rPr>
        <w:t xml:space="preserve">4.        /                                                       </w:t>
      </w:r>
      <w:r>
        <w:rPr>
          <w:rFonts w:ascii="宋体" w:hAnsi="宋体" w:eastAsia="宋体" w:cs="宋体"/>
          <w:color w:val="000000"/>
          <w:sz w:val="24"/>
        </w:rPr>
        <w:t>；</w:t>
      </w:r>
    </w:p>
    <w:p w14:paraId="142860B9">
      <w:pPr>
        <w:tabs>
          <w:tab w:val="left" w:pos="860"/>
        </w:tabs>
        <w:spacing w:line="300" w:lineRule="auto"/>
        <w:ind w:firstLine="480" w:firstLineChars="200"/>
      </w:pPr>
      <w:r>
        <w:rPr>
          <w:rFonts w:ascii="宋体" w:hAnsi="宋体" w:eastAsia="宋体" w:cs="宋体"/>
          <w:color w:val="000000"/>
          <w:sz w:val="24"/>
          <w:u w:val="single"/>
        </w:rPr>
        <w:t xml:space="preserve">5.        /                                                       </w:t>
      </w:r>
      <w:r>
        <w:rPr>
          <w:rFonts w:ascii="宋体" w:hAnsi="宋体" w:eastAsia="宋体" w:cs="宋体"/>
          <w:color w:val="000000"/>
          <w:sz w:val="24"/>
        </w:rPr>
        <w:t>。</w:t>
      </w:r>
    </w:p>
    <w:p w14:paraId="17D0519A">
      <w:pPr>
        <w:spacing w:line="300" w:lineRule="auto"/>
        <w:ind w:firstLine="480" w:firstLineChars="200"/>
      </w:pPr>
      <w:r>
        <w:rPr>
          <w:rFonts w:ascii="宋体" w:hAnsi="宋体" w:eastAsia="宋体" w:cs="宋体"/>
          <w:color w:val="000000"/>
          <w:sz w:val="24"/>
        </w:rPr>
        <w:t>如该商品房权利状况与上述情况不符，导致不能完成本合同登记备案或房屋所有权转移登记的，买受人有权解除合同。买受人解除合同的，应当书面通知出卖人。出卖人应当自解除合同通知送达之日起15日内退还买受人已付全部房款（含已付贷款部分），并自买受人付款之日起，按照</w:t>
      </w:r>
      <w:r>
        <w:rPr>
          <w:rFonts w:ascii="宋体" w:hAnsi="宋体" w:eastAsia="宋体" w:cs="宋体"/>
          <w:color w:val="000000"/>
          <w:sz w:val="24"/>
          <w:u w:val="single"/>
        </w:rPr>
        <w:t xml:space="preserve"> 全国银行间同业拆借中心发布的同期一年期贷款市场报价利率（LPR） </w:t>
      </w:r>
      <w:r>
        <w:rPr>
          <w:rFonts w:ascii="宋体" w:hAnsi="宋体" w:eastAsia="宋体" w:cs="宋体"/>
          <w:color w:val="000000"/>
          <w:sz w:val="24"/>
        </w:rPr>
        <w:t>%（不低于中国人民银行公布的同期贷款基准利率）计算给付利息。给买受人造成损失的，由出卖人支付【买受人全部损失】的赔偿金。</w:t>
      </w:r>
    </w:p>
    <w:p w14:paraId="27246377">
      <w:pPr>
        <w:spacing w:line="300" w:lineRule="auto"/>
        <w:ind w:firstLine="560" w:firstLineChars="200"/>
      </w:pPr>
      <w:r>
        <w:rPr>
          <w:rFonts w:ascii="宋体" w:hAnsi="宋体" w:eastAsia="宋体" w:cs="宋体"/>
          <w:color w:val="000000"/>
          <w:sz w:val="28"/>
        </w:rPr>
        <w:t> </w:t>
      </w:r>
    </w:p>
    <w:p w14:paraId="18287C26">
      <w:pPr>
        <w:spacing w:line="300" w:lineRule="auto"/>
        <w:jc w:val="center"/>
      </w:pPr>
      <w:r>
        <w:rPr>
          <w:rFonts w:ascii="宋体" w:hAnsi="宋体" w:eastAsia="宋体" w:cs="宋体"/>
          <w:b/>
          <w:color w:val="000000"/>
          <w:sz w:val="28"/>
        </w:rPr>
        <w:t>第三章 商品房价款</w:t>
      </w:r>
    </w:p>
    <w:p w14:paraId="2156CCA1">
      <w:pPr>
        <w:spacing w:line="300" w:lineRule="auto"/>
        <w:ind w:firstLine="482" w:firstLineChars="200"/>
      </w:pPr>
      <w:r>
        <w:rPr>
          <w:rFonts w:ascii="宋体" w:hAnsi="宋体" w:eastAsia="宋体" w:cs="宋体"/>
          <w:b/>
          <w:color w:val="000000"/>
          <w:sz w:val="24"/>
        </w:rPr>
        <w:t>第六条  计价方式与价款</w:t>
      </w:r>
    </w:p>
    <w:p w14:paraId="1A73E58F">
      <w:pPr>
        <w:spacing w:line="300" w:lineRule="auto"/>
        <w:ind w:firstLine="480" w:firstLineChars="200"/>
      </w:pPr>
      <w:r>
        <w:rPr>
          <w:rFonts w:ascii="宋体" w:hAnsi="宋体" w:eastAsia="宋体" w:cs="宋体"/>
          <w:color w:val="000000"/>
          <w:sz w:val="24"/>
        </w:rPr>
        <w:t>出卖人与买受人按照下列第</w:t>
      </w:r>
      <w:r>
        <w:rPr>
          <w:rFonts w:ascii="宋体" w:hAnsi="宋体" w:eastAsia="宋体" w:cs="宋体"/>
          <w:color w:val="000000"/>
          <w:sz w:val="24"/>
          <w:u w:val="single"/>
        </w:rPr>
        <w:t xml:space="preserve">  2  </w:t>
      </w:r>
      <w:r>
        <w:rPr>
          <w:rFonts w:ascii="宋体" w:hAnsi="宋体" w:eastAsia="宋体" w:cs="宋体"/>
          <w:color w:val="000000"/>
          <w:sz w:val="24"/>
        </w:rPr>
        <w:t>种方式计算该商品房价款：</w:t>
      </w:r>
    </w:p>
    <w:p w14:paraId="1C3A26F6">
      <w:pPr>
        <w:spacing w:line="300" w:lineRule="auto"/>
        <w:ind w:firstLine="480" w:firstLineChars="200"/>
      </w:pPr>
      <w:r>
        <w:rPr>
          <w:rFonts w:ascii="宋体" w:hAnsi="宋体" w:eastAsia="宋体" w:cs="宋体"/>
          <w:color w:val="000000"/>
          <w:sz w:val="24"/>
        </w:rPr>
        <w:t>1.按照套内建筑面积计算，该商品房单价为每平方米</w:t>
      </w:r>
      <w:r>
        <w:rPr>
          <w:rFonts w:ascii="宋体" w:hAnsi="宋体" w:eastAsia="宋体" w:cs="宋体"/>
          <w:color w:val="000000"/>
          <w:sz w:val="24"/>
          <w:u w:val="single"/>
        </w:rPr>
        <w:t xml:space="preserve"> / </w:t>
      </w:r>
      <w:r>
        <w:rPr>
          <w:rFonts w:ascii="宋体" w:hAnsi="宋体" w:eastAsia="宋体" w:cs="宋体"/>
          <w:color w:val="000000"/>
          <w:sz w:val="24"/>
        </w:rPr>
        <w:t>（币种）</w:t>
      </w:r>
      <w:r>
        <w:rPr>
          <w:rFonts w:ascii="宋体" w:hAnsi="宋体" w:eastAsia="宋体" w:cs="宋体"/>
          <w:color w:val="000000"/>
          <w:sz w:val="24"/>
          <w:u w:val="single"/>
        </w:rPr>
        <w:t xml:space="preserve"> / </w:t>
      </w:r>
      <w:r>
        <w:rPr>
          <w:rFonts w:ascii="宋体" w:hAnsi="宋体" w:eastAsia="宋体" w:cs="宋体"/>
          <w:color w:val="000000"/>
          <w:sz w:val="24"/>
        </w:rPr>
        <w:t>元，总价款为</w:t>
      </w:r>
      <w:r>
        <w:rPr>
          <w:rFonts w:ascii="宋体" w:hAnsi="宋体" w:eastAsia="宋体" w:cs="宋体"/>
          <w:color w:val="000000"/>
          <w:sz w:val="24"/>
          <w:u w:val="single"/>
        </w:rPr>
        <w:t xml:space="preserve"> / </w:t>
      </w:r>
      <w:r>
        <w:rPr>
          <w:rFonts w:ascii="宋体" w:hAnsi="宋体" w:eastAsia="宋体" w:cs="宋体"/>
          <w:color w:val="000000"/>
          <w:sz w:val="24"/>
        </w:rPr>
        <w:t>（币种）</w:t>
      </w:r>
      <w:r>
        <w:rPr>
          <w:rFonts w:ascii="宋体" w:hAnsi="宋体" w:eastAsia="宋体" w:cs="宋体"/>
          <w:color w:val="000000"/>
          <w:sz w:val="24"/>
          <w:u w:val="single"/>
        </w:rPr>
        <w:t xml:space="preserve"> / </w:t>
      </w:r>
      <w:r>
        <w:rPr>
          <w:rFonts w:ascii="宋体" w:hAnsi="宋体" w:eastAsia="宋体" w:cs="宋体"/>
          <w:color w:val="000000"/>
          <w:sz w:val="24"/>
        </w:rPr>
        <w:t>元（大写</w:t>
      </w:r>
      <w:r>
        <w:rPr>
          <w:rFonts w:ascii="宋体" w:hAnsi="宋体" w:eastAsia="宋体" w:cs="宋体"/>
          <w:color w:val="000000"/>
          <w:sz w:val="24"/>
          <w:u w:val="single"/>
        </w:rPr>
        <w:t xml:space="preserve"> / </w:t>
      </w:r>
      <w:r>
        <w:rPr>
          <w:rFonts w:ascii="宋体" w:hAnsi="宋体" w:eastAsia="宋体" w:cs="宋体"/>
          <w:color w:val="000000"/>
          <w:sz w:val="24"/>
        </w:rPr>
        <w:t>元整）。</w:t>
      </w:r>
    </w:p>
    <w:p w14:paraId="12E3816A">
      <w:pPr>
        <w:spacing w:line="300" w:lineRule="auto"/>
        <w:ind w:firstLine="480" w:firstLineChars="200"/>
      </w:pPr>
      <w:r>
        <w:rPr>
          <w:rFonts w:ascii="宋体" w:hAnsi="宋体" w:eastAsia="宋体" w:cs="宋体"/>
          <w:color w:val="000000"/>
          <w:sz w:val="24"/>
        </w:rPr>
        <w:t>2.按照建筑面积计算，该商品房单价为每平方米</w:t>
      </w:r>
      <w:r>
        <w:rPr>
          <w:rFonts w:ascii="宋体" w:hAnsi="宋体" w:eastAsia="宋体" w:cs="宋体"/>
          <w:color w:val="000000"/>
          <w:sz w:val="24"/>
          <w:u w:val="single"/>
        </w:rPr>
        <w:t xml:space="preserve"> 人民币 </w:t>
      </w:r>
      <w:r>
        <w:rPr>
          <w:rFonts w:ascii="宋体" w:hAnsi="宋体" w:eastAsia="宋体" w:cs="宋体"/>
          <w:color w:val="000000"/>
          <w:sz w:val="24"/>
        </w:rPr>
        <w:t>（币种）</w:t>
      </w:r>
      <w:r>
        <w:rPr>
          <w:rFonts w:ascii="宋体" w:hAnsi="宋体" w:eastAsia="宋体" w:cs="宋体"/>
          <w:color w:val="000000"/>
          <w:sz w:val="24"/>
          <w:u w:val="single"/>
        </w:rPr>
        <w:t xml:space="preserve">        </w:t>
      </w:r>
      <w:r>
        <w:rPr>
          <w:rFonts w:ascii="宋体" w:hAnsi="宋体" w:eastAsia="宋体" w:cs="宋体"/>
          <w:color w:val="000000"/>
          <w:sz w:val="24"/>
        </w:rPr>
        <w:t>元，总价款为</w:t>
      </w:r>
      <w:r>
        <w:rPr>
          <w:rFonts w:ascii="宋体" w:hAnsi="宋体" w:eastAsia="宋体" w:cs="宋体"/>
          <w:color w:val="000000"/>
          <w:sz w:val="24"/>
          <w:u w:val="single"/>
        </w:rPr>
        <w:t xml:space="preserve"> 人民币 </w:t>
      </w:r>
      <w:r>
        <w:rPr>
          <w:rFonts w:ascii="宋体" w:hAnsi="宋体" w:eastAsia="宋体" w:cs="宋体"/>
          <w:color w:val="000000"/>
          <w:sz w:val="24"/>
        </w:rPr>
        <w:t>（币种）</w:t>
      </w:r>
      <w:r>
        <w:rPr>
          <w:rFonts w:ascii="宋体" w:hAnsi="宋体" w:eastAsia="宋体" w:cs="宋体"/>
          <w:color w:val="000000"/>
          <w:sz w:val="24"/>
          <w:u w:val="single"/>
        </w:rPr>
        <w:t xml:space="preserve">        </w:t>
      </w:r>
      <w:r>
        <w:rPr>
          <w:rFonts w:ascii="宋体" w:hAnsi="宋体" w:eastAsia="宋体" w:cs="宋体"/>
          <w:color w:val="000000"/>
          <w:sz w:val="24"/>
        </w:rPr>
        <w:t>元（大写</w:t>
      </w:r>
      <w:r>
        <w:rPr>
          <w:rFonts w:ascii="宋体" w:hAnsi="宋体" w:eastAsia="宋体" w:cs="宋体"/>
          <w:color w:val="000000"/>
          <w:sz w:val="24"/>
          <w:u w:val="single"/>
        </w:rPr>
        <w:t xml:space="preserve">                       </w:t>
      </w:r>
      <w:r>
        <w:rPr>
          <w:rFonts w:ascii="宋体" w:hAnsi="宋体" w:eastAsia="宋体" w:cs="宋体"/>
          <w:color w:val="000000"/>
          <w:sz w:val="24"/>
        </w:rPr>
        <w:t>元整）。</w:t>
      </w:r>
    </w:p>
    <w:p w14:paraId="08A003BE">
      <w:pPr>
        <w:spacing w:line="300" w:lineRule="auto"/>
        <w:ind w:firstLine="480" w:firstLineChars="200"/>
      </w:pPr>
      <w:r>
        <w:rPr>
          <w:rFonts w:ascii="宋体" w:hAnsi="宋体" w:eastAsia="宋体" w:cs="宋体"/>
          <w:color w:val="000000"/>
          <w:sz w:val="24"/>
        </w:rPr>
        <w:t>3.按照套计算，该商品房总价款为</w:t>
      </w:r>
      <w:r>
        <w:rPr>
          <w:rFonts w:ascii="宋体" w:hAnsi="宋体" w:eastAsia="宋体" w:cs="宋体"/>
          <w:color w:val="000000"/>
          <w:sz w:val="24"/>
          <w:u w:val="single"/>
        </w:rPr>
        <w:t xml:space="preserve"> / </w:t>
      </w:r>
      <w:r>
        <w:rPr>
          <w:rFonts w:ascii="宋体" w:hAnsi="宋体" w:eastAsia="宋体" w:cs="宋体"/>
          <w:color w:val="000000"/>
          <w:sz w:val="24"/>
        </w:rPr>
        <w:t>（币种）</w:t>
      </w:r>
      <w:r>
        <w:rPr>
          <w:rFonts w:ascii="宋体" w:hAnsi="宋体" w:eastAsia="宋体" w:cs="宋体"/>
          <w:color w:val="000000"/>
          <w:sz w:val="24"/>
          <w:u w:val="single"/>
        </w:rPr>
        <w:t xml:space="preserve"> / </w:t>
      </w:r>
      <w:r>
        <w:rPr>
          <w:rFonts w:ascii="宋体" w:hAnsi="宋体" w:eastAsia="宋体" w:cs="宋体"/>
          <w:color w:val="000000"/>
          <w:sz w:val="24"/>
        </w:rPr>
        <w:t>元（大写 / 元整）。</w:t>
      </w:r>
    </w:p>
    <w:p w14:paraId="53BFD651">
      <w:pPr>
        <w:spacing w:line="300" w:lineRule="auto"/>
        <w:ind w:firstLine="480" w:firstLineChars="200"/>
      </w:pPr>
      <w:r>
        <w:rPr>
          <w:rFonts w:ascii="宋体" w:hAnsi="宋体" w:eastAsia="宋体" w:cs="宋体"/>
          <w:color w:val="000000"/>
          <w:sz w:val="24"/>
        </w:rPr>
        <w:t>4.按照</w:t>
      </w:r>
      <w:r>
        <w:rPr>
          <w:rFonts w:ascii="宋体" w:hAnsi="宋体" w:eastAsia="宋体" w:cs="宋体"/>
          <w:color w:val="000000"/>
          <w:sz w:val="24"/>
          <w:u w:val="single"/>
        </w:rPr>
        <w:t xml:space="preserve"> / </w:t>
      </w:r>
      <w:r>
        <w:rPr>
          <w:rFonts w:ascii="宋体" w:hAnsi="宋体" w:eastAsia="宋体" w:cs="宋体"/>
          <w:color w:val="000000"/>
          <w:sz w:val="24"/>
        </w:rPr>
        <w:t>计算，该商品房总价款</w:t>
      </w:r>
      <w:r>
        <w:rPr>
          <w:rFonts w:ascii="宋体" w:hAnsi="宋体" w:eastAsia="宋体" w:cs="宋体"/>
          <w:color w:val="000000"/>
          <w:sz w:val="24"/>
          <w:u w:val="single"/>
        </w:rPr>
        <w:t xml:space="preserve"> / </w:t>
      </w:r>
      <w:r>
        <w:rPr>
          <w:rFonts w:ascii="宋体" w:hAnsi="宋体" w:eastAsia="宋体" w:cs="宋体"/>
          <w:color w:val="000000"/>
          <w:sz w:val="24"/>
        </w:rPr>
        <w:t>（币种）</w:t>
      </w:r>
      <w:r>
        <w:rPr>
          <w:rFonts w:ascii="宋体" w:hAnsi="宋体" w:eastAsia="宋体" w:cs="宋体"/>
          <w:color w:val="000000"/>
          <w:sz w:val="24"/>
          <w:u w:val="single"/>
        </w:rPr>
        <w:t xml:space="preserve"> / </w:t>
      </w:r>
      <w:r>
        <w:rPr>
          <w:rFonts w:ascii="宋体" w:hAnsi="宋体" w:eastAsia="宋体" w:cs="宋体"/>
          <w:color w:val="000000"/>
          <w:sz w:val="24"/>
        </w:rPr>
        <w:t>元（大写</w:t>
      </w:r>
      <w:r>
        <w:rPr>
          <w:rFonts w:ascii="宋体" w:hAnsi="宋体" w:eastAsia="宋体" w:cs="宋体"/>
          <w:color w:val="000000"/>
          <w:sz w:val="24"/>
          <w:u w:val="single"/>
        </w:rPr>
        <w:t xml:space="preserve"> / </w:t>
      </w:r>
      <w:r>
        <w:rPr>
          <w:rFonts w:ascii="宋体" w:hAnsi="宋体" w:eastAsia="宋体" w:cs="宋体"/>
          <w:color w:val="000000"/>
          <w:sz w:val="24"/>
        </w:rPr>
        <w:t>元整）。</w:t>
      </w:r>
    </w:p>
    <w:p w14:paraId="61551A1C">
      <w:pPr>
        <w:spacing w:line="300" w:lineRule="auto"/>
        <w:ind w:firstLine="480" w:firstLineChars="200"/>
      </w:pPr>
      <w:r>
        <w:rPr>
          <w:rFonts w:ascii="宋体" w:hAnsi="宋体" w:eastAsia="宋体" w:cs="宋体"/>
          <w:color w:val="000000"/>
          <w:sz w:val="24"/>
        </w:rPr>
        <w:t>以上房屋总金额中包含装修款【人民币】</w:t>
      </w:r>
      <w:r>
        <w:rPr>
          <w:rFonts w:ascii="宋体" w:hAnsi="宋体" w:eastAsia="宋体" w:cs="宋体"/>
          <w:color w:val="000000"/>
          <w:sz w:val="24"/>
          <w:u w:val="single"/>
        </w:rPr>
        <w:t xml:space="preserve">           </w:t>
      </w:r>
      <w:r>
        <w:rPr>
          <w:rFonts w:ascii="宋体" w:hAnsi="宋体" w:eastAsia="宋体" w:cs="宋体"/>
          <w:color w:val="000000"/>
          <w:sz w:val="24"/>
        </w:rPr>
        <w:t>元。</w:t>
      </w:r>
    </w:p>
    <w:p w14:paraId="69BD37E5">
      <w:pPr>
        <w:spacing w:line="300" w:lineRule="auto"/>
        <w:ind w:firstLine="482" w:firstLineChars="200"/>
      </w:pPr>
      <w:r>
        <w:rPr>
          <w:rFonts w:ascii="宋体" w:hAnsi="宋体" w:eastAsia="宋体" w:cs="宋体"/>
          <w:b/>
          <w:color w:val="000000"/>
          <w:sz w:val="24"/>
        </w:rPr>
        <w:t>第七条 付款方式及期限</w:t>
      </w:r>
    </w:p>
    <w:p w14:paraId="7CF95BB3">
      <w:pPr>
        <w:spacing w:line="300" w:lineRule="auto"/>
        <w:ind w:firstLine="480" w:firstLineChars="200"/>
      </w:pPr>
      <w:r>
        <w:rPr>
          <w:rFonts w:ascii="宋体" w:hAnsi="宋体" w:eastAsia="宋体" w:cs="宋体"/>
          <w:color w:val="000000"/>
          <w:sz w:val="24"/>
        </w:rPr>
        <w:t>（一）签订本合同前，买受人已向出卖人支付定金</w:t>
      </w:r>
      <w:r>
        <w:rPr>
          <w:rFonts w:ascii="宋体" w:hAnsi="宋体" w:eastAsia="宋体" w:cs="宋体"/>
          <w:color w:val="000000"/>
          <w:sz w:val="24"/>
          <w:u w:val="single"/>
        </w:rPr>
        <w:t xml:space="preserve"> 人民币 </w:t>
      </w:r>
      <w:r>
        <w:rPr>
          <w:rFonts w:ascii="宋体" w:hAnsi="宋体" w:eastAsia="宋体" w:cs="宋体"/>
          <w:color w:val="000000"/>
          <w:sz w:val="24"/>
        </w:rPr>
        <w:t>（币种）</w:t>
      </w:r>
      <w:r>
        <w:rPr>
          <w:rFonts w:ascii="宋体" w:hAnsi="宋体" w:eastAsia="宋体" w:cs="宋体"/>
          <w:color w:val="000000"/>
          <w:sz w:val="24"/>
          <w:u w:val="single"/>
        </w:rPr>
        <w:t xml:space="preserve">           </w:t>
      </w:r>
      <w:r>
        <w:rPr>
          <w:rFonts w:ascii="宋体" w:hAnsi="宋体" w:eastAsia="宋体" w:cs="宋体"/>
          <w:color w:val="000000"/>
          <w:sz w:val="24"/>
        </w:rPr>
        <w:t>元（大写</w:t>
      </w:r>
      <w:r>
        <w:rPr>
          <w:rFonts w:ascii="宋体" w:hAnsi="宋体" w:eastAsia="宋体" w:cs="宋体"/>
          <w:color w:val="000000"/>
          <w:sz w:val="24"/>
          <w:u w:val="single"/>
        </w:rPr>
        <w:t xml:space="preserve">           </w:t>
      </w:r>
      <w:r>
        <w:rPr>
          <w:rFonts w:ascii="宋体" w:hAnsi="宋体" w:eastAsia="宋体" w:cs="宋体"/>
          <w:color w:val="000000"/>
          <w:sz w:val="24"/>
        </w:rPr>
        <w:t>元整），该定金于【</w:t>
      </w:r>
      <w:r>
        <w:rPr>
          <w:rFonts w:ascii="宋体" w:hAnsi="宋体" w:eastAsia="宋体" w:cs="宋体"/>
          <w:color w:val="000000"/>
          <w:spacing w:val="-3"/>
          <w:sz w:val="24"/>
        </w:rPr>
        <w:t>本合同签订</w:t>
      </w:r>
      <w:r>
        <w:rPr>
          <w:rFonts w:ascii="宋体" w:hAnsi="宋体" w:eastAsia="宋体" w:cs="宋体"/>
          <w:color w:val="000000"/>
          <w:sz w:val="24"/>
        </w:rPr>
        <w:t>】时【抵作】商品房价款。</w:t>
      </w:r>
    </w:p>
    <w:p w14:paraId="3AB8E656">
      <w:pPr>
        <w:spacing w:line="300" w:lineRule="auto"/>
        <w:ind w:firstLine="480" w:firstLineChars="200"/>
      </w:pPr>
      <w:r>
        <w:rPr>
          <w:rFonts w:ascii="宋体" w:hAnsi="宋体" w:eastAsia="宋体" w:cs="宋体"/>
          <w:color w:val="000000"/>
          <w:sz w:val="24"/>
        </w:rPr>
        <w:t>（二）买受人采取下列第</w:t>
      </w:r>
      <w:r>
        <w:rPr>
          <w:rFonts w:ascii="宋体" w:hAnsi="宋体" w:eastAsia="宋体" w:cs="宋体"/>
          <w:color w:val="000000"/>
          <w:sz w:val="24"/>
          <w:u w:val="single"/>
        </w:rPr>
        <w:t xml:space="preserve">        </w:t>
      </w:r>
      <w:r>
        <w:rPr>
          <w:rFonts w:ascii="宋体" w:hAnsi="宋体" w:eastAsia="宋体" w:cs="宋体"/>
          <w:color w:val="000000"/>
          <w:sz w:val="24"/>
        </w:rPr>
        <w:t>种方式付款：</w:t>
      </w:r>
    </w:p>
    <w:p w14:paraId="68CA375C">
      <w:pPr>
        <w:spacing w:line="300" w:lineRule="auto"/>
        <w:ind w:firstLine="480" w:firstLineChars="200"/>
      </w:pPr>
      <w:r>
        <w:rPr>
          <w:rFonts w:ascii="宋体" w:hAnsi="宋体" w:eastAsia="宋体" w:cs="宋体"/>
          <w:color w:val="000000"/>
          <w:sz w:val="24"/>
        </w:rPr>
        <w:t>1.一次性付款。买受人应当在</w:t>
      </w:r>
      <w:r>
        <w:rPr>
          <w:rFonts w:ascii="宋体" w:hAnsi="宋体" w:eastAsia="宋体" w:cs="宋体"/>
          <w:color w:val="000000"/>
          <w:sz w:val="24"/>
          <w:u w:val="single"/>
        </w:rPr>
        <w:t xml:space="preserve">        </w:t>
      </w:r>
      <w:r>
        <w:rPr>
          <w:rFonts w:ascii="宋体" w:hAnsi="宋体" w:eastAsia="宋体" w:cs="宋体"/>
          <w:color w:val="000000"/>
          <w:sz w:val="24"/>
        </w:rPr>
        <w:t>年</w:t>
      </w:r>
      <w:r>
        <w:rPr>
          <w:rFonts w:ascii="宋体" w:hAnsi="宋体" w:eastAsia="宋体" w:cs="宋体"/>
          <w:color w:val="000000"/>
          <w:sz w:val="24"/>
          <w:u w:val="single"/>
        </w:rPr>
        <w:t xml:space="preserve">       </w:t>
      </w:r>
      <w:r>
        <w:rPr>
          <w:rFonts w:ascii="宋体" w:hAnsi="宋体" w:eastAsia="宋体" w:cs="宋体"/>
          <w:color w:val="000000"/>
          <w:sz w:val="24"/>
        </w:rPr>
        <w:t>月</w:t>
      </w:r>
      <w:r>
        <w:rPr>
          <w:rFonts w:ascii="宋体" w:hAnsi="宋体" w:eastAsia="宋体" w:cs="宋体"/>
          <w:color w:val="000000"/>
          <w:sz w:val="24"/>
          <w:u w:val="single"/>
        </w:rPr>
        <w:t xml:space="preserve">        </w:t>
      </w:r>
      <w:r>
        <w:rPr>
          <w:rFonts w:ascii="宋体" w:hAnsi="宋体" w:eastAsia="宋体" w:cs="宋体"/>
          <w:color w:val="000000"/>
          <w:sz w:val="24"/>
        </w:rPr>
        <w:t>日前支付该商品房全部价款。</w:t>
      </w:r>
    </w:p>
    <w:p w14:paraId="5D631EF5">
      <w:pPr>
        <w:spacing w:line="300" w:lineRule="auto"/>
        <w:ind w:firstLine="480" w:firstLineChars="200"/>
      </w:pPr>
      <w:r>
        <w:rPr>
          <w:rFonts w:ascii="宋体" w:hAnsi="宋体" w:eastAsia="宋体" w:cs="宋体"/>
          <w:color w:val="000000"/>
          <w:sz w:val="24"/>
        </w:rPr>
        <w:t>2.分期付款。买受人应当在</w:t>
      </w:r>
      <w:r>
        <w:rPr>
          <w:rFonts w:ascii="宋体" w:hAnsi="宋体" w:eastAsia="宋体" w:cs="宋体"/>
          <w:color w:val="000000"/>
          <w:sz w:val="24"/>
          <w:u w:val="single"/>
        </w:rPr>
        <w:t xml:space="preserve">    </w:t>
      </w:r>
      <w:r>
        <w:rPr>
          <w:rFonts w:ascii="宋体" w:hAnsi="宋体" w:eastAsia="宋体" w:cs="宋体"/>
          <w:color w:val="000000"/>
          <w:sz w:val="24"/>
        </w:rPr>
        <w:t>年</w:t>
      </w:r>
      <w:r>
        <w:rPr>
          <w:rFonts w:ascii="宋体" w:hAnsi="宋体" w:eastAsia="宋体" w:cs="宋体"/>
          <w:color w:val="000000"/>
          <w:sz w:val="24"/>
          <w:u w:val="single"/>
        </w:rPr>
        <w:t xml:space="preserve">    </w:t>
      </w:r>
      <w:r>
        <w:rPr>
          <w:rFonts w:ascii="宋体" w:hAnsi="宋体" w:eastAsia="宋体" w:cs="宋体"/>
          <w:color w:val="000000"/>
          <w:sz w:val="24"/>
        </w:rPr>
        <w:t>月</w:t>
      </w:r>
      <w:r>
        <w:rPr>
          <w:rFonts w:ascii="宋体" w:hAnsi="宋体" w:eastAsia="宋体" w:cs="宋体"/>
          <w:color w:val="000000"/>
          <w:sz w:val="24"/>
          <w:u w:val="single"/>
        </w:rPr>
        <w:t xml:space="preserve">    </w:t>
      </w:r>
      <w:r>
        <w:rPr>
          <w:rFonts w:ascii="宋体" w:hAnsi="宋体" w:eastAsia="宋体" w:cs="宋体"/>
          <w:color w:val="000000"/>
          <w:sz w:val="24"/>
        </w:rPr>
        <w:t>日前分</w:t>
      </w:r>
      <w:r>
        <w:rPr>
          <w:rFonts w:ascii="宋体" w:hAnsi="宋体" w:eastAsia="宋体" w:cs="宋体"/>
          <w:color w:val="000000"/>
          <w:sz w:val="24"/>
          <w:u w:val="single"/>
        </w:rPr>
        <w:t xml:space="preserve">    </w:t>
      </w:r>
      <w:r>
        <w:rPr>
          <w:rFonts w:ascii="宋体" w:hAnsi="宋体" w:eastAsia="宋体" w:cs="宋体"/>
          <w:color w:val="000000"/>
          <w:sz w:val="24"/>
        </w:rPr>
        <w:t>期支付该商品房全部价款，首期房价款</w:t>
      </w:r>
      <w:r>
        <w:rPr>
          <w:rFonts w:ascii="宋体" w:hAnsi="宋体" w:eastAsia="宋体" w:cs="宋体"/>
          <w:color w:val="000000"/>
          <w:sz w:val="24"/>
          <w:u w:val="single"/>
        </w:rPr>
        <w:t xml:space="preserve">    </w:t>
      </w:r>
      <w:r>
        <w:rPr>
          <w:rFonts w:ascii="宋体" w:hAnsi="宋体" w:eastAsia="宋体" w:cs="宋体"/>
          <w:color w:val="000000"/>
          <w:sz w:val="24"/>
        </w:rPr>
        <w:t>（币种）</w:t>
      </w:r>
      <w:r>
        <w:rPr>
          <w:rFonts w:ascii="宋体" w:hAnsi="宋体" w:eastAsia="宋体" w:cs="宋体"/>
          <w:color w:val="000000"/>
          <w:sz w:val="24"/>
          <w:u w:val="single"/>
        </w:rPr>
        <w:t xml:space="preserve">    </w:t>
      </w:r>
      <w:r>
        <w:rPr>
          <w:rFonts w:ascii="宋体" w:hAnsi="宋体" w:eastAsia="宋体" w:cs="宋体"/>
          <w:color w:val="000000"/>
          <w:sz w:val="24"/>
        </w:rPr>
        <w:t>元（大写：</w:t>
      </w:r>
      <w:r>
        <w:rPr>
          <w:rFonts w:ascii="宋体" w:hAnsi="宋体" w:eastAsia="宋体" w:cs="宋体"/>
          <w:color w:val="000000"/>
          <w:sz w:val="24"/>
          <w:u w:val="single"/>
        </w:rPr>
        <w:t xml:space="preserve">    </w:t>
      </w:r>
      <w:r>
        <w:rPr>
          <w:rFonts w:ascii="宋体" w:hAnsi="宋体" w:eastAsia="宋体" w:cs="宋体"/>
          <w:color w:val="000000"/>
          <w:sz w:val="24"/>
        </w:rPr>
        <w:t>元整），应当于</w:t>
      </w:r>
      <w:r>
        <w:rPr>
          <w:rFonts w:ascii="宋体" w:hAnsi="宋体" w:eastAsia="宋体" w:cs="宋体"/>
          <w:color w:val="000000"/>
          <w:sz w:val="24"/>
          <w:u w:val="single"/>
        </w:rPr>
        <w:t xml:space="preserve">    </w:t>
      </w:r>
      <w:r>
        <w:rPr>
          <w:rFonts w:ascii="宋体" w:hAnsi="宋体" w:eastAsia="宋体" w:cs="宋体"/>
          <w:color w:val="000000"/>
          <w:sz w:val="24"/>
        </w:rPr>
        <w:t>年</w:t>
      </w:r>
      <w:r>
        <w:rPr>
          <w:rFonts w:ascii="宋体" w:hAnsi="宋体" w:eastAsia="宋体" w:cs="宋体"/>
          <w:color w:val="000000"/>
          <w:sz w:val="24"/>
          <w:u w:val="single"/>
        </w:rPr>
        <w:t xml:space="preserve">    </w:t>
      </w:r>
      <w:r>
        <w:rPr>
          <w:rFonts w:ascii="宋体" w:hAnsi="宋体" w:eastAsia="宋体" w:cs="宋体"/>
          <w:color w:val="000000"/>
          <w:sz w:val="24"/>
        </w:rPr>
        <w:t>月</w:t>
      </w:r>
      <w:r>
        <w:rPr>
          <w:rFonts w:ascii="宋体" w:hAnsi="宋体" w:eastAsia="宋体" w:cs="宋体"/>
          <w:color w:val="000000"/>
          <w:sz w:val="24"/>
          <w:u w:val="single"/>
        </w:rPr>
        <w:t xml:space="preserve">    </w:t>
      </w:r>
      <w:r>
        <w:rPr>
          <w:rFonts w:ascii="宋体" w:hAnsi="宋体" w:eastAsia="宋体" w:cs="宋体"/>
          <w:color w:val="000000"/>
          <w:sz w:val="24"/>
        </w:rPr>
        <w:t>日前支付。</w:t>
      </w:r>
    </w:p>
    <w:p w14:paraId="3A223E7D">
      <w:pPr>
        <w:spacing w:line="300" w:lineRule="auto"/>
        <w:ind w:firstLine="480" w:firstLineChars="200"/>
      </w:pPr>
      <w:r>
        <w:rPr>
          <w:rFonts w:ascii="宋体" w:hAnsi="宋体" w:eastAsia="宋体" w:cs="宋体"/>
          <w:color w:val="000000"/>
          <w:sz w:val="24"/>
        </w:rPr>
        <w:t>3.贷款方式付款：</w:t>
      </w:r>
      <w:r>
        <w:rPr>
          <w:rFonts w:ascii="宋体" w:hAnsi="宋体" w:eastAsia="宋体" w:cs="宋体"/>
          <w:color w:val="000000"/>
          <w:sz w:val="24"/>
          <w:u w:val="single"/>
        </w:rPr>
        <w:t>【       】</w:t>
      </w:r>
      <w:r>
        <w:rPr>
          <w:rFonts w:ascii="宋体" w:hAnsi="宋体" w:eastAsia="宋体" w:cs="宋体"/>
          <w:color w:val="000000"/>
          <w:sz w:val="24"/>
        </w:rPr>
        <w:t>。买受人应当于</w:t>
      </w:r>
      <w:r>
        <w:rPr>
          <w:rFonts w:ascii="宋体" w:hAnsi="宋体" w:eastAsia="宋体" w:cs="宋体"/>
          <w:color w:val="000000"/>
          <w:sz w:val="24"/>
          <w:u w:val="single"/>
        </w:rPr>
        <w:t xml:space="preserve">     </w:t>
      </w:r>
      <w:r>
        <w:rPr>
          <w:rFonts w:ascii="宋体" w:hAnsi="宋体" w:eastAsia="宋体" w:cs="宋体"/>
          <w:color w:val="000000"/>
          <w:sz w:val="24"/>
        </w:rPr>
        <w:t>年</w:t>
      </w:r>
      <w:r>
        <w:rPr>
          <w:rFonts w:ascii="宋体" w:hAnsi="宋体" w:eastAsia="宋体" w:cs="宋体"/>
          <w:color w:val="000000"/>
          <w:sz w:val="24"/>
          <w:u w:val="single"/>
        </w:rPr>
        <w:t xml:space="preserve">    </w:t>
      </w:r>
      <w:r>
        <w:rPr>
          <w:rFonts w:ascii="宋体" w:hAnsi="宋体" w:eastAsia="宋体" w:cs="宋体"/>
          <w:color w:val="000000"/>
          <w:sz w:val="24"/>
        </w:rPr>
        <w:t>月</w:t>
      </w:r>
      <w:r>
        <w:rPr>
          <w:rFonts w:ascii="宋体" w:hAnsi="宋体" w:eastAsia="宋体" w:cs="宋体"/>
          <w:color w:val="000000"/>
          <w:sz w:val="24"/>
          <w:u w:val="single"/>
        </w:rPr>
        <w:t xml:space="preserve">   </w:t>
      </w:r>
      <w:r>
        <w:rPr>
          <w:rFonts w:ascii="宋体" w:hAnsi="宋体" w:eastAsia="宋体" w:cs="宋体"/>
          <w:color w:val="000000"/>
          <w:sz w:val="24"/>
        </w:rPr>
        <w:t>日前支付首期房价款</w:t>
      </w:r>
      <w:r>
        <w:rPr>
          <w:rFonts w:ascii="宋体" w:hAnsi="宋体" w:eastAsia="宋体" w:cs="宋体"/>
          <w:color w:val="000000"/>
          <w:sz w:val="24"/>
          <w:u w:val="single"/>
        </w:rPr>
        <w:t xml:space="preserve"> 人民币 </w:t>
      </w:r>
      <w:r>
        <w:rPr>
          <w:rFonts w:ascii="宋体" w:hAnsi="宋体" w:eastAsia="宋体" w:cs="宋体"/>
          <w:color w:val="000000"/>
          <w:sz w:val="24"/>
        </w:rPr>
        <w:t>（币种）</w:t>
      </w:r>
      <w:r>
        <w:rPr>
          <w:rFonts w:ascii="宋体" w:hAnsi="宋体" w:eastAsia="宋体" w:cs="宋体"/>
          <w:color w:val="000000"/>
          <w:sz w:val="24"/>
          <w:u w:val="single"/>
        </w:rPr>
        <w:t xml:space="preserve">              </w:t>
      </w:r>
      <w:r>
        <w:rPr>
          <w:rFonts w:ascii="宋体" w:hAnsi="宋体" w:eastAsia="宋体" w:cs="宋体"/>
          <w:color w:val="000000"/>
          <w:sz w:val="24"/>
        </w:rPr>
        <w:t>元（大写：</w:t>
      </w:r>
      <w:r>
        <w:rPr>
          <w:rFonts w:ascii="宋体" w:hAnsi="宋体" w:eastAsia="宋体" w:cs="宋体"/>
          <w:color w:val="000000"/>
          <w:sz w:val="24"/>
          <w:u w:val="single"/>
        </w:rPr>
        <w:t xml:space="preserve">                  </w:t>
      </w:r>
      <w:r>
        <w:rPr>
          <w:rFonts w:ascii="宋体" w:hAnsi="宋体" w:eastAsia="宋体" w:cs="宋体"/>
          <w:color w:val="000000"/>
          <w:sz w:val="24"/>
        </w:rPr>
        <w:t xml:space="preserve"> 元整），占全部房价款的</w:t>
      </w:r>
      <w:r>
        <w:rPr>
          <w:rFonts w:ascii="宋体" w:hAnsi="宋体" w:eastAsia="宋体" w:cs="宋体"/>
          <w:color w:val="000000"/>
          <w:sz w:val="24"/>
          <w:u w:val="single"/>
        </w:rPr>
        <w:t xml:space="preserve">             </w:t>
      </w:r>
      <w:r>
        <w:rPr>
          <w:rFonts w:ascii="宋体" w:hAnsi="宋体" w:eastAsia="宋体" w:cs="宋体"/>
          <w:color w:val="000000"/>
          <w:sz w:val="24"/>
        </w:rPr>
        <w:t>应当于</w:t>
      </w:r>
      <w:r>
        <w:rPr>
          <w:rFonts w:ascii="宋体" w:hAnsi="宋体" w:eastAsia="宋体" w:cs="宋体"/>
          <w:color w:val="000000"/>
          <w:sz w:val="24"/>
          <w:u w:val="single"/>
        </w:rPr>
        <w:t xml:space="preserve">    </w:t>
      </w:r>
      <w:r>
        <w:rPr>
          <w:rFonts w:ascii="宋体" w:hAnsi="宋体" w:eastAsia="宋体" w:cs="宋体"/>
          <w:color w:val="000000"/>
          <w:sz w:val="24"/>
        </w:rPr>
        <w:t>年</w:t>
      </w:r>
      <w:r>
        <w:rPr>
          <w:rFonts w:ascii="宋体" w:hAnsi="宋体" w:eastAsia="宋体" w:cs="宋体"/>
          <w:color w:val="000000"/>
          <w:sz w:val="24"/>
          <w:u w:val="single"/>
        </w:rPr>
        <w:t xml:space="preserve">   </w:t>
      </w:r>
      <w:r>
        <w:rPr>
          <w:rFonts w:ascii="宋体" w:hAnsi="宋体" w:eastAsia="宋体" w:cs="宋体"/>
          <w:color w:val="000000"/>
          <w:sz w:val="24"/>
        </w:rPr>
        <w:t>月</w:t>
      </w:r>
      <w:r>
        <w:rPr>
          <w:rFonts w:ascii="宋体" w:hAnsi="宋体" w:eastAsia="宋体" w:cs="宋体"/>
          <w:color w:val="000000"/>
          <w:sz w:val="24"/>
          <w:u w:val="single"/>
        </w:rPr>
        <w:t xml:space="preserve">    </w:t>
      </w:r>
      <w:r>
        <w:rPr>
          <w:rFonts w:ascii="宋体" w:hAnsi="宋体" w:eastAsia="宋体" w:cs="宋体"/>
          <w:color w:val="000000"/>
          <w:sz w:val="24"/>
        </w:rPr>
        <w:t>日前支付房价款</w:t>
      </w:r>
      <w:r>
        <w:rPr>
          <w:rFonts w:ascii="宋体" w:hAnsi="宋体" w:eastAsia="宋体" w:cs="宋体"/>
          <w:color w:val="000000"/>
          <w:sz w:val="24"/>
          <w:u w:val="single"/>
        </w:rPr>
        <w:t xml:space="preserve"> 人民币 </w:t>
      </w:r>
      <w:r>
        <w:rPr>
          <w:rFonts w:ascii="宋体" w:hAnsi="宋体" w:eastAsia="宋体" w:cs="宋体"/>
          <w:color w:val="000000"/>
          <w:sz w:val="24"/>
        </w:rPr>
        <w:t>（币种）</w:t>
      </w:r>
      <w:r>
        <w:rPr>
          <w:rFonts w:ascii="宋体" w:hAnsi="宋体" w:eastAsia="宋体" w:cs="宋体"/>
          <w:color w:val="000000"/>
          <w:sz w:val="24"/>
          <w:u w:val="single"/>
        </w:rPr>
        <w:t xml:space="preserve">   </w:t>
      </w:r>
      <w:r>
        <w:rPr>
          <w:rFonts w:ascii="宋体" w:hAnsi="宋体" w:eastAsia="宋体" w:cs="宋体"/>
          <w:color w:val="000000"/>
          <w:sz w:val="24"/>
        </w:rPr>
        <w:t>元（大写：</w:t>
      </w:r>
      <w:r>
        <w:rPr>
          <w:rFonts w:ascii="宋体" w:hAnsi="宋体" w:eastAsia="宋体" w:cs="宋体"/>
          <w:color w:val="000000"/>
          <w:sz w:val="24"/>
          <w:u w:val="single"/>
        </w:rPr>
        <w:t xml:space="preserve">          </w:t>
      </w:r>
      <w:r>
        <w:rPr>
          <w:rFonts w:ascii="宋体" w:hAnsi="宋体" w:eastAsia="宋体" w:cs="宋体"/>
          <w:color w:val="000000"/>
          <w:sz w:val="24"/>
        </w:rPr>
        <w:t>元整），占全部房价款的</w:t>
      </w:r>
      <w:r>
        <w:rPr>
          <w:rFonts w:ascii="宋体" w:hAnsi="宋体" w:eastAsia="宋体" w:cs="宋体"/>
          <w:color w:val="000000"/>
          <w:sz w:val="24"/>
          <w:u w:val="single"/>
        </w:rPr>
        <w:t xml:space="preserve">    %，</w:t>
      </w:r>
    </w:p>
    <w:p w14:paraId="22DE9F3E">
      <w:pPr>
        <w:spacing w:line="300" w:lineRule="auto"/>
        <w:ind w:firstLine="480" w:firstLineChars="200"/>
      </w:pPr>
      <w:r>
        <w:rPr>
          <w:rFonts w:ascii="宋体" w:hAnsi="宋体" w:eastAsia="宋体" w:cs="宋体"/>
          <w:color w:val="000000"/>
          <w:sz w:val="24"/>
        </w:rPr>
        <w:t>余款</w:t>
      </w:r>
      <w:r>
        <w:rPr>
          <w:rFonts w:ascii="宋体" w:hAnsi="宋体" w:eastAsia="宋体" w:cs="宋体"/>
          <w:color w:val="000000"/>
          <w:sz w:val="24"/>
          <w:u w:val="single"/>
        </w:rPr>
        <w:t xml:space="preserve"> 人民币 </w:t>
      </w:r>
      <w:r>
        <w:rPr>
          <w:rFonts w:ascii="宋体" w:hAnsi="宋体" w:eastAsia="宋体" w:cs="宋体"/>
          <w:color w:val="000000"/>
          <w:sz w:val="24"/>
        </w:rPr>
        <w:t>（币种）</w:t>
      </w:r>
      <w:r>
        <w:rPr>
          <w:rFonts w:ascii="宋体" w:hAnsi="宋体" w:eastAsia="宋体" w:cs="宋体"/>
          <w:color w:val="000000"/>
          <w:sz w:val="24"/>
          <w:u w:val="single"/>
        </w:rPr>
        <w:t xml:space="preserve">         </w:t>
      </w:r>
      <w:r>
        <w:rPr>
          <w:rFonts w:ascii="宋体" w:hAnsi="宋体" w:eastAsia="宋体" w:cs="宋体"/>
          <w:color w:val="000000"/>
          <w:sz w:val="24"/>
        </w:rPr>
        <w:t>元（大写</w:t>
      </w:r>
      <w:r>
        <w:rPr>
          <w:rFonts w:ascii="宋体" w:hAnsi="宋体" w:eastAsia="宋体" w:cs="宋体"/>
          <w:color w:val="000000"/>
          <w:sz w:val="24"/>
          <w:u w:val="single"/>
        </w:rPr>
        <w:t xml:space="preserve">                   </w:t>
      </w:r>
      <w:r>
        <w:rPr>
          <w:rFonts w:ascii="宋体" w:hAnsi="宋体" w:eastAsia="宋体" w:cs="宋体"/>
          <w:color w:val="000000"/>
          <w:sz w:val="24"/>
        </w:rPr>
        <w:t>元整）向</w:t>
      </w:r>
      <w:r>
        <w:rPr>
          <w:rFonts w:ascii="宋体" w:hAnsi="宋体" w:eastAsia="宋体" w:cs="宋体"/>
          <w:color w:val="000000"/>
          <w:sz w:val="24"/>
          <w:u w:val="single"/>
        </w:rPr>
        <w:t xml:space="preserve"> 银行    </w:t>
      </w:r>
      <w:r>
        <w:rPr>
          <w:rFonts w:ascii="宋体" w:hAnsi="宋体" w:eastAsia="宋体" w:cs="宋体"/>
          <w:color w:val="000000"/>
          <w:sz w:val="24"/>
        </w:rPr>
        <w:t>（贷款机构）申请贷款支付。</w:t>
      </w:r>
    </w:p>
    <w:p w14:paraId="74FC6B0B">
      <w:pPr>
        <w:spacing w:line="300" w:lineRule="auto"/>
        <w:ind w:firstLine="480" w:firstLineChars="200"/>
      </w:pPr>
      <w:r>
        <w:rPr>
          <w:rFonts w:ascii="宋体" w:hAnsi="宋体" w:eastAsia="宋体" w:cs="宋体"/>
          <w:color w:val="000000"/>
          <w:sz w:val="24"/>
        </w:rPr>
        <w:t>4. 其他方式：</w:t>
      </w:r>
    </w:p>
    <w:p w14:paraId="259E8E49">
      <w:pPr>
        <w:spacing w:line="300" w:lineRule="auto"/>
        <w:ind w:firstLine="482" w:firstLineChars="200"/>
      </w:pPr>
      <w:r>
        <w:rPr>
          <w:rFonts w:ascii="宋体" w:hAnsi="宋体" w:eastAsia="宋体" w:cs="宋体"/>
          <w:b/>
          <w:color w:val="000000"/>
          <w:sz w:val="24"/>
          <w:u w:val="single"/>
        </w:rPr>
        <w:t xml:space="preserve">          /                       。</w:t>
      </w:r>
    </w:p>
    <w:p w14:paraId="43544E60">
      <w:pPr>
        <w:spacing w:line="300" w:lineRule="auto"/>
        <w:ind w:firstLine="480" w:firstLineChars="200"/>
      </w:pPr>
      <w:r>
        <w:rPr>
          <w:rFonts w:ascii="宋体" w:hAnsi="宋体" w:eastAsia="宋体" w:cs="宋体"/>
          <w:color w:val="000000"/>
          <w:sz w:val="24"/>
        </w:rPr>
        <w:t>（三）出售该商品房的全部房价款应当存入预售资金监管账户，用于本工程建设。</w:t>
      </w:r>
    </w:p>
    <w:p w14:paraId="522ABCD4">
      <w:pPr>
        <w:spacing w:line="300" w:lineRule="auto"/>
        <w:ind w:firstLine="480" w:firstLineChars="200"/>
      </w:pPr>
      <w:r>
        <w:rPr>
          <w:rFonts w:ascii="宋体" w:hAnsi="宋体" w:eastAsia="宋体" w:cs="宋体"/>
          <w:color w:val="000000"/>
          <w:sz w:val="24"/>
        </w:rPr>
        <w:t>该商品房的预售资金监管机构为</w:t>
      </w:r>
      <w:r>
        <w:rPr>
          <w:rFonts w:ascii="宋体" w:hAnsi="宋体" w:eastAsia="宋体" w:cs="宋体"/>
          <w:color w:val="000000"/>
          <w:sz w:val="24"/>
          <w:u w:val="single"/>
        </w:rPr>
        <w:t xml:space="preserve"> 无锡市房地产市场管理和监测中心 ，</w:t>
      </w:r>
      <w:r>
        <w:rPr>
          <w:rFonts w:ascii="宋体" w:hAnsi="宋体" w:eastAsia="宋体" w:cs="宋体"/>
          <w:color w:val="000000"/>
          <w:sz w:val="24"/>
        </w:rPr>
        <w:t>预售资金监管专用账户开户银行为</w:t>
      </w:r>
      <w:r>
        <w:rPr>
          <w:rFonts w:ascii="宋体" w:hAnsi="宋体" w:eastAsia="宋体" w:cs="宋体"/>
          <w:color w:val="000000"/>
          <w:sz w:val="24"/>
          <w:u w:val="single"/>
        </w:rPr>
        <w:t xml:space="preserve">  工商银行经开支行  </w:t>
      </w:r>
      <w:r>
        <w:rPr>
          <w:rFonts w:ascii="宋体" w:hAnsi="宋体" w:eastAsia="宋体" w:cs="宋体"/>
          <w:color w:val="000000"/>
          <w:sz w:val="24"/>
        </w:rPr>
        <w:t>，专用账户</w:t>
      </w:r>
      <w:r>
        <w:rPr>
          <w:rFonts w:ascii="宋体" w:hAnsi="宋体" w:eastAsia="宋体" w:cs="宋体"/>
          <w:color w:val="000000"/>
          <w:sz w:val="24"/>
          <w:u w:val="single"/>
        </w:rPr>
        <w:t xml:space="preserve"> 无锡山水嘉泰置业有限公司 </w:t>
      </w:r>
      <w:r>
        <w:rPr>
          <w:rFonts w:ascii="宋体" w:hAnsi="宋体" w:eastAsia="宋体" w:cs="宋体"/>
          <w:color w:val="000000"/>
          <w:sz w:val="24"/>
        </w:rPr>
        <w:t>，专用账户账号为</w:t>
      </w:r>
      <w:r>
        <w:rPr>
          <w:rFonts w:ascii="宋体" w:hAnsi="宋体" w:eastAsia="宋体" w:cs="宋体"/>
          <w:color w:val="000000"/>
          <w:sz w:val="24"/>
          <w:u w:val="single"/>
        </w:rPr>
        <w:t xml:space="preserve"> 1103023529201076653 </w:t>
      </w:r>
      <w:r>
        <w:rPr>
          <w:rFonts w:ascii="宋体" w:hAnsi="宋体" w:eastAsia="宋体" w:cs="宋体"/>
          <w:color w:val="000000"/>
          <w:sz w:val="24"/>
        </w:rPr>
        <w:t>。</w:t>
      </w:r>
    </w:p>
    <w:p w14:paraId="01F0113A">
      <w:pPr>
        <w:spacing w:line="300" w:lineRule="auto"/>
        <w:ind w:firstLine="480" w:firstLineChars="200"/>
      </w:pPr>
      <w:r>
        <w:rPr>
          <w:rFonts w:ascii="宋体" w:hAnsi="宋体" w:eastAsia="宋体" w:cs="宋体"/>
          <w:color w:val="000000"/>
          <w:sz w:val="24"/>
        </w:rPr>
        <w:t>该商品房价款的计价方式、总价款、付款方式及期限的具体约定见附件四。</w:t>
      </w:r>
    </w:p>
    <w:p w14:paraId="0DF131B9">
      <w:pPr>
        <w:spacing w:line="300" w:lineRule="auto"/>
        <w:ind w:firstLine="482" w:firstLineChars="200"/>
      </w:pPr>
      <w:r>
        <w:rPr>
          <w:rFonts w:ascii="宋体" w:hAnsi="宋体" w:eastAsia="宋体" w:cs="宋体"/>
          <w:b/>
          <w:color w:val="000000"/>
          <w:sz w:val="24"/>
        </w:rPr>
        <w:t xml:space="preserve">第八条 逾期付款责任 </w:t>
      </w:r>
    </w:p>
    <w:p w14:paraId="2CC1FC20">
      <w:pPr>
        <w:spacing w:line="300" w:lineRule="auto"/>
        <w:ind w:firstLine="480" w:firstLineChars="200"/>
      </w:pPr>
      <w:r>
        <w:rPr>
          <w:rFonts w:ascii="宋体" w:hAnsi="宋体" w:eastAsia="宋体" w:cs="宋体"/>
          <w:color w:val="000000"/>
          <w:sz w:val="24"/>
        </w:rPr>
        <w:t>除不可抗力外，买受人未按照约定时间付款的，双方同意按照下列第</w:t>
      </w:r>
      <w:r>
        <w:rPr>
          <w:rFonts w:ascii="宋体" w:hAnsi="宋体" w:eastAsia="宋体" w:cs="宋体"/>
          <w:color w:val="000000"/>
          <w:sz w:val="24"/>
          <w:u w:val="single"/>
        </w:rPr>
        <w:t xml:space="preserve">  1和2 </w:t>
      </w:r>
      <w:r>
        <w:rPr>
          <w:rFonts w:ascii="宋体" w:hAnsi="宋体" w:eastAsia="宋体" w:cs="宋体"/>
          <w:color w:val="000000"/>
          <w:sz w:val="24"/>
        </w:rPr>
        <w:t xml:space="preserve">种方式处理： </w:t>
      </w:r>
    </w:p>
    <w:p w14:paraId="57BF06E5">
      <w:pPr>
        <w:spacing w:line="300" w:lineRule="auto"/>
        <w:ind w:firstLine="480" w:firstLineChars="200"/>
      </w:pPr>
      <w:r>
        <w:rPr>
          <w:rFonts w:ascii="宋体" w:hAnsi="宋体" w:eastAsia="宋体" w:cs="宋体"/>
          <w:color w:val="000000"/>
          <w:sz w:val="24"/>
        </w:rPr>
        <w:t>1. 按照逾期时间，分别处理（（1）和（2）不作累加）。</w:t>
      </w:r>
    </w:p>
    <w:p w14:paraId="36729735">
      <w:pPr>
        <w:spacing w:line="300" w:lineRule="auto"/>
        <w:ind w:firstLine="480" w:firstLineChars="200"/>
      </w:pPr>
      <w:r>
        <w:rPr>
          <w:rFonts w:ascii="宋体" w:hAnsi="宋体" w:eastAsia="宋体" w:cs="宋体"/>
          <w:color w:val="000000"/>
          <w:sz w:val="24"/>
        </w:rPr>
        <w:t>（1）逾期在</w:t>
      </w:r>
      <w:r>
        <w:rPr>
          <w:rFonts w:ascii="宋体" w:hAnsi="宋体" w:eastAsia="宋体" w:cs="宋体"/>
          <w:color w:val="000000"/>
          <w:sz w:val="24"/>
          <w:u w:val="single"/>
        </w:rPr>
        <w:t xml:space="preserve">  90  </w:t>
      </w:r>
      <w:r>
        <w:rPr>
          <w:rFonts w:ascii="宋体" w:hAnsi="宋体" w:eastAsia="宋体" w:cs="宋体"/>
          <w:color w:val="000000"/>
          <w:sz w:val="24"/>
        </w:rPr>
        <w:t>日之内，买受人按日计算向出卖人支付逾期应付款万分之</w:t>
      </w:r>
      <w:r>
        <w:rPr>
          <w:rFonts w:ascii="宋体" w:hAnsi="宋体" w:eastAsia="宋体" w:cs="宋体"/>
          <w:color w:val="000000"/>
          <w:sz w:val="24"/>
          <w:u w:val="single"/>
        </w:rPr>
        <w:t xml:space="preserve">  一    </w:t>
      </w:r>
      <w:r>
        <w:rPr>
          <w:rFonts w:ascii="宋体" w:hAnsi="宋体" w:eastAsia="宋体" w:cs="宋体"/>
          <w:color w:val="000000"/>
          <w:sz w:val="24"/>
        </w:rPr>
        <w:t>的违约金。</w:t>
      </w:r>
    </w:p>
    <w:p w14:paraId="7692A827">
      <w:pPr>
        <w:spacing w:line="300" w:lineRule="auto"/>
        <w:ind w:firstLine="480" w:firstLineChars="200"/>
      </w:pPr>
      <w:r>
        <w:rPr>
          <w:rFonts w:ascii="宋体" w:hAnsi="宋体" w:eastAsia="宋体" w:cs="宋体"/>
          <w:color w:val="000000"/>
          <w:sz w:val="24"/>
        </w:rPr>
        <w:t>（2）逾期超过</w:t>
      </w:r>
      <w:r>
        <w:rPr>
          <w:rFonts w:ascii="宋体" w:hAnsi="宋体" w:eastAsia="宋体" w:cs="宋体"/>
          <w:color w:val="000000"/>
          <w:sz w:val="24"/>
          <w:u w:val="single"/>
        </w:rPr>
        <w:t xml:space="preserve">  90  </w:t>
      </w:r>
      <w:r>
        <w:rPr>
          <w:rFonts w:ascii="宋体" w:hAnsi="宋体" w:eastAsia="宋体" w:cs="宋体"/>
          <w:color w:val="000000"/>
          <w:sz w:val="24"/>
        </w:rPr>
        <w:t>日（该期限应当与本条第（1）项中的期限相同）后，出卖人有权解除合同。出卖人解除合同的，应当书面通知买受人。买受人应当自解除合同通知送达之日起</w:t>
      </w:r>
      <w:r>
        <w:rPr>
          <w:rFonts w:ascii="宋体" w:hAnsi="宋体" w:eastAsia="宋体" w:cs="宋体"/>
          <w:color w:val="000000"/>
          <w:sz w:val="24"/>
          <w:u w:val="single"/>
        </w:rPr>
        <w:t xml:space="preserve">  15   </w:t>
      </w:r>
      <w:r>
        <w:rPr>
          <w:rFonts w:ascii="宋体" w:hAnsi="宋体" w:eastAsia="宋体" w:cs="宋体"/>
          <w:color w:val="000000"/>
          <w:sz w:val="24"/>
        </w:rPr>
        <w:t>日内按照累计应付款的</w:t>
      </w:r>
      <w:r>
        <w:rPr>
          <w:rFonts w:ascii="宋体" w:hAnsi="宋体" w:eastAsia="宋体" w:cs="宋体"/>
          <w:color w:val="000000"/>
          <w:sz w:val="24"/>
          <w:u w:val="single"/>
        </w:rPr>
        <w:t xml:space="preserve">  10   </w:t>
      </w:r>
      <w:r>
        <w:rPr>
          <w:rFonts w:ascii="宋体" w:hAnsi="宋体" w:eastAsia="宋体" w:cs="宋体"/>
          <w:color w:val="000000"/>
          <w:sz w:val="24"/>
        </w:rPr>
        <w:t>%向出卖人支付违约金，同时，出卖人退还买受人已付全部房款（含已付贷款部分）。</w:t>
      </w:r>
    </w:p>
    <w:p w14:paraId="49541746">
      <w:pPr>
        <w:spacing w:line="300" w:lineRule="auto"/>
        <w:ind w:firstLine="480" w:firstLineChars="200"/>
      </w:pPr>
      <w:r>
        <w:rPr>
          <w:rFonts w:ascii="宋体" w:hAnsi="宋体" w:eastAsia="宋体" w:cs="宋体"/>
          <w:color w:val="000000"/>
          <w:sz w:val="24"/>
        </w:rPr>
        <w:t>出卖人不解除合同的，买受人按日计算向出卖人支付逾期应付款万分之</w:t>
      </w:r>
      <w:r>
        <w:rPr>
          <w:rFonts w:ascii="宋体" w:hAnsi="宋体" w:eastAsia="宋体" w:cs="宋体"/>
          <w:color w:val="000000"/>
          <w:sz w:val="24"/>
          <w:u w:val="single"/>
        </w:rPr>
        <w:t xml:space="preserve">  一  </w:t>
      </w:r>
      <w:r>
        <w:rPr>
          <w:rFonts w:ascii="宋体" w:hAnsi="宋体" w:eastAsia="宋体" w:cs="宋体"/>
          <w:color w:val="000000"/>
          <w:sz w:val="24"/>
        </w:rPr>
        <w:t xml:space="preserve">（该比率不低于第（1）项中的比率）的违约金。 </w:t>
      </w:r>
    </w:p>
    <w:p w14:paraId="3239F3A7">
      <w:pPr>
        <w:spacing w:line="300" w:lineRule="auto"/>
        <w:ind w:firstLine="480" w:firstLineChars="200"/>
      </w:pPr>
      <w:r>
        <w:rPr>
          <w:rFonts w:ascii="宋体" w:hAnsi="宋体" w:eastAsia="宋体" w:cs="宋体"/>
          <w:color w:val="000000"/>
          <w:sz w:val="24"/>
        </w:rPr>
        <w:t>本条所称逾期应付款是指依照第七条及附件四约定的到期应付款与该期实际已付款的差额；采取分期付款的，按照相应的分期应付款与该期的实际已付款的差额确定。</w:t>
      </w:r>
    </w:p>
    <w:p w14:paraId="38F66EB1">
      <w:pPr>
        <w:tabs>
          <w:tab w:val="left" w:pos="7920"/>
        </w:tabs>
        <w:spacing w:line="300" w:lineRule="auto"/>
        <w:ind w:firstLine="482" w:firstLineChars="200"/>
      </w:pPr>
      <w:r>
        <w:rPr>
          <w:rFonts w:ascii="宋体" w:hAnsi="宋体" w:eastAsia="宋体" w:cs="宋体"/>
          <w:b/>
          <w:color w:val="000000"/>
          <w:sz w:val="24"/>
          <w:u w:val="single"/>
        </w:rPr>
        <w:t>2.  出卖人同意合同继续履行的，在商品房交付前，买受人应向出卖人足额付清违约金，否则出卖人有权拒绝交付而不视为违约。</w:t>
      </w:r>
    </w:p>
    <w:p w14:paraId="4C9A7F53">
      <w:pPr>
        <w:spacing w:line="300" w:lineRule="auto"/>
        <w:ind w:firstLine="560" w:firstLineChars="200"/>
      </w:pPr>
      <w:r>
        <w:rPr>
          <w:rFonts w:ascii="宋体" w:hAnsi="宋体" w:eastAsia="宋体" w:cs="宋体"/>
          <w:color w:val="000000"/>
          <w:sz w:val="28"/>
        </w:rPr>
        <w:t> </w:t>
      </w:r>
    </w:p>
    <w:p w14:paraId="5E494FCD">
      <w:pPr>
        <w:spacing w:line="300" w:lineRule="auto"/>
        <w:ind w:firstLine="562" w:firstLineChars="200"/>
        <w:jc w:val="center"/>
      </w:pPr>
      <w:r>
        <w:rPr>
          <w:rFonts w:ascii="宋体" w:hAnsi="宋体" w:eastAsia="宋体" w:cs="宋体"/>
          <w:b/>
          <w:color w:val="000000"/>
          <w:sz w:val="28"/>
        </w:rPr>
        <w:t>第四章 商品房交付条件与交付手续</w:t>
      </w:r>
    </w:p>
    <w:p w14:paraId="253D3C2E">
      <w:pPr>
        <w:spacing w:line="300" w:lineRule="auto"/>
        <w:ind w:firstLine="482" w:firstLineChars="200"/>
      </w:pPr>
      <w:r>
        <w:rPr>
          <w:rFonts w:ascii="宋体" w:hAnsi="宋体" w:eastAsia="宋体" w:cs="宋体"/>
          <w:b/>
          <w:color w:val="000000"/>
          <w:sz w:val="24"/>
        </w:rPr>
        <w:t xml:space="preserve">第九条 商品房交付条件 </w:t>
      </w:r>
    </w:p>
    <w:p w14:paraId="31488297">
      <w:pPr>
        <w:spacing w:line="300" w:lineRule="auto"/>
        <w:ind w:firstLine="480" w:firstLineChars="200"/>
      </w:pPr>
      <w:r>
        <w:rPr>
          <w:rFonts w:ascii="宋体" w:hAnsi="宋体" w:eastAsia="宋体" w:cs="宋体"/>
          <w:color w:val="000000"/>
          <w:sz w:val="24"/>
        </w:rPr>
        <w:t>该商品房交付时应当符合下列第1、2、</w:t>
      </w:r>
      <w:r>
        <w:rPr>
          <w:rFonts w:ascii="宋体" w:hAnsi="宋体" w:eastAsia="宋体" w:cs="宋体"/>
          <w:color w:val="000000"/>
          <w:sz w:val="24"/>
          <w:u w:val="single"/>
        </w:rPr>
        <w:t xml:space="preserve"> / </w:t>
      </w:r>
      <w:r>
        <w:rPr>
          <w:rFonts w:ascii="宋体" w:hAnsi="宋体" w:eastAsia="宋体" w:cs="宋体"/>
          <w:color w:val="000000"/>
          <w:sz w:val="24"/>
        </w:rPr>
        <w:t>、</w:t>
      </w:r>
      <w:r>
        <w:rPr>
          <w:rFonts w:ascii="宋体" w:hAnsi="宋体" w:eastAsia="宋体" w:cs="宋体"/>
          <w:color w:val="000000"/>
          <w:sz w:val="24"/>
          <w:u w:val="single"/>
        </w:rPr>
        <w:t xml:space="preserve"> / </w:t>
      </w:r>
      <w:r>
        <w:rPr>
          <w:rFonts w:ascii="宋体" w:hAnsi="宋体" w:eastAsia="宋体" w:cs="宋体"/>
          <w:color w:val="000000"/>
          <w:sz w:val="24"/>
        </w:rPr>
        <w:t>项所列条件：</w:t>
      </w:r>
    </w:p>
    <w:p w14:paraId="153A3A64">
      <w:pPr>
        <w:tabs>
          <w:tab w:val="left" w:pos="780"/>
        </w:tabs>
        <w:spacing w:line="300" w:lineRule="auto"/>
        <w:ind w:firstLine="480" w:firstLineChars="200"/>
      </w:pPr>
      <w:r>
        <w:rPr>
          <w:rFonts w:ascii="宋体" w:hAnsi="宋体" w:eastAsia="宋体" w:cs="宋体"/>
          <w:color w:val="000000"/>
          <w:sz w:val="24"/>
        </w:rPr>
        <w:t xml:space="preserve">1.该商品房已取得建设工程竣工验收备案证明文件； </w:t>
      </w:r>
    </w:p>
    <w:p w14:paraId="1244E652">
      <w:pPr>
        <w:tabs>
          <w:tab w:val="left" w:pos="780"/>
        </w:tabs>
        <w:spacing w:line="300" w:lineRule="auto"/>
        <w:ind w:firstLine="480" w:firstLineChars="200"/>
      </w:pPr>
      <w:r>
        <w:rPr>
          <w:rFonts w:ascii="宋体" w:hAnsi="宋体" w:eastAsia="宋体" w:cs="宋体"/>
          <w:color w:val="000000"/>
          <w:sz w:val="24"/>
        </w:rPr>
        <w:t xml:space="preserve">2.该商品房已取得房屋测绘报告； </w:t>
      </w:r>
    </w:p>
    <w:p w14:paraId="4544782E">
      <w:pPr>
        <w:tabs>
          <w:tab w:val="left" w:pos="780"/>
        </w:tabs>
        <w:spacing w:line="300" w:lineRule="auto"/>
        <w:ind w:firstLine="480" w:firstLineChars="200"/>
      </w:pPr>
      <w:r>
        <w:rPr>
          <w:rFonts w:ascii="宋体" w:hAnsi="宋体" w:eastAsia="宋体" w:cs="宋体"/>
          <w:color w:val="000000"/>
          <w:sz w:val="24"/>
          <w:u w:val="single"/>
        </w:rPr>
        <w:t>3.                /                                      ；</w:t>
      </w:r>
    </w:p>
    <w:p w14:paraId="702F04E9">
      <w:pPr>
        <w:tabs>
          <w:tab w:val="left" w:pos="780"/>
        </w:tabs>
        <w:spacing w:line="300" w:lineRule="auto"/>
        <w:ind w:firstLine="480" w:firstLineChars="200"/>
      </w:pPr>
      <w:r>
        <w:rPr>
          <w:rFonts w:ascii="宋体" w:hAnsi="宋体" w:eastAsia="宋体" w:cs="宋体"/>
          <w:color w:val="000000"/>
          <w:sz w:val="24"/>
          <w:u w:val="single"/>
        </w:rPr>
        <w:t>4.                /                                       。</w:t>
      </w:r>
    </w:p>
    <w:p w14:paraId="459E53AA">
      <w:pPr>
        <w:spacing w:line="300" w:lineRule="auto"/>
        <w:ind w:firstLine="480" w:firstLineChars="200"/>
      </w:pPr>
      <w:r>
        <w:rPr>
          <w:rFonts w:ascii="宋体" w:hAnsi="宋体" w:eastAsia="宋体" w:cs="宋体"/>
          <w:color w:val="000000"/>
          <w:sz w:val="24"/>
        </w:rPr>
        <w:t xml:space="preserve">该商品房为住宅的，出卖人还需提供《住宅使用说明书》和《住宅质量保证书》。 </w:t>
      </w:r>
    </w:p>
    <w:p w14:paraId="6EA7AF18">
      <w:pPr>
        <w:spacing w:line="300" w:lineRule="auto"/>
        <w:ind w:firstLine="482" w:firstLineChars="200"/>
      </w:pPr>
      <w:r>
        <w:rPr>
          <w:rFonts w:ascii="宋体" w:hAnsi="宋体" w:eastAsia="宋体" w:cs="宋体"/>
          <w:b/>
          <w:color w:val="000000"/>
          <w:sz w:val="24"/>
        </w:rPr>
        <w:t xml:space="preserve">第十条 商品房相关设施设备交付条件 </w:t>
      </w:r>
    </w:p>
    <w:p w14:paraId="373611A4">
      <w:pPr>
        <w:spacing w:line="300" w:lineRule="auto"/>
        <w:ind w:firstLine="480" w:firstLineChars="200"/>
      </w:pPr>
      <w:r>
        <w:rPr>
          <w:rFonts w:ascii="宋体" w:hAnsi="宋体" w:eastAsia="宋体" w:cs="宋体"/>
          <w:color w:val="000000"/>
          <w:sz w:val="24"/>
        </w:rPr>
        <w:t>（一）基础设施设备</w:t>
      </w:r>
    </w:p>
    <w:p w14:paraId="283CA983">
      <w:pPr>
        <w:spacing w:line="300" w:lineRule="auto"/>
        <w:ind w:firstLine="480" w:firstLineChars="200"/>
      </w:pPr>
      <w:r>
        <w:rPr>
          <w:rFonts w:ascii="宋体" w:hAnsi="宋体" w:eastAsia="宋体" w:cs="宋体"/>
          <w:color w:val="000000"/>
          <w:sz w:val="24"/>
        </w:rPr>
        <w:t>1.供水、排水：交付时供水、排水配套设施齐全，并与城市公共供水、排水管网连接。使用自建设施供水的，供水的水质符合国家规定的饮用水卫生标准，</w:t>
      </w:r>
      <w:r>
        <w:rPr>
          <w:rFonts w:ascii="宋体" w:hAnsi="宋体" w:eastAsia="宋体" w:cs="宋体"/>
          <w:color w:val="000000"/>
          <w:sz w:val="24"/>
          <w:u w:val="single"/>
        </w:rPr>
        <w:t xml:space="preserve">因供水单位等非出卖人原因导致交付时无法完成的，出卖人无需承担相关违约责任，未尽事宜按本合同附件五约定执行 </w:t>
      </w:r>
      <w:r>
        <w:rPr>
          <w:rFonts w:ascii="宋体" w:hAnsi="宋体" w:eastAsia="宋体" w:cs="宋体"/>
          <w:color w:val="000000"/>
          <w:sz w:val="24"/>
        </w:rPr>
        <w:t>；</w:t>
      </w:r>
    </w:p>
    <w:p w14:paraId="1ABF93C9">
      <w:pPr>
        <w:spacing w:line="300" w:lineRule="auto"/>
        <w:ind w:firstLine="480" w:firstLineChars="200"/>
      </w:pPr>
      <w:r>
        <w:rPr>
          <w:rFonts w:ascii="宋体" w:hAnsi="宋体" w:eastAsia="宋体" w:cs="宋体"/>
          <w:color w:val="000000"/>
          <w:sz w:val="24"/>
        </w:rPr>
        <w:t>2.供电：交付时纳入城市供电网络并正式供电，</w:t>
      </w:r>
      <w:r>
        <w:rPr>
          <w:rFonts w:ascii="宋体" w:hAnsi="宋体" w:eastAsia="宋体" w:cs="宋体"/>
          <w:color w:val="000000"/>
          <w:sz w:val="24"/>
          <w:u w:val="single"/>
        </w:rPr>
        <w:t xml:space="preserve">若该商品房交付时永久性用电尚未接通的，出卖人可接通临时用电代替，以满足买受人正常生活需要，买受人对此予以认可，出卖人无需承担相关违约责任。临时用电的收费标准按照电力部门公布的收费标准执行，未尽事宜按本合同附件五约定执行 </w:t>
      </w:r>
      <w:r>
        <w:rPr>
          <w:rFonts w:ascii="宋体" w:hAnsi="宋体" w:eastAsia="宋体" w:cs="宋体"/>
          <w:color w:val="000000"/>
          <w:sz w:val="24"/>
        </w:rPr>
        <w:t>；</w:t>
      </w:r>
    </w:p>
    <w:p w14:paraId="55E1CD04">
      <w:pPr>
        <w:tabs>
          <w:tab w:val="left" w:pos="3280"/>
          <w:tab w:val="right" w:pos="9160"/>
        </w:tabs>
        <w:spacing w:line="300" w:lineRule="auto"/>
        <w:ind w:firstLine="480" w:firstLineChars="200"/>
      </w:pPr>
      <w:r>
        <w:rPr>
          <w:rFonts w:ascii="宋体" w:hAnsi="宋体" w:eastAsia="宋体" w:cs="宋体"/>
          <w:color w:val="000000"/>
          <w:sz w:val="24"/>
        </w:rPr>
        <w:t>3.供暖：交付时供热系统符合供热配建标准，使用城市集中供热的，纳入城市集中供热管网，</w:t>
      </w:r>
    </w:p>
    <w:p w14:paraId="2B01AE6F">
      <w:pPr>
        <w:spacing w:line="300" w:lineRule="auto"/>
        <w:ind w:firstLine="480" w:firstLineChars="200"/>
      </w:pPr>
      <w:r>
        <w:rPr>
          <w:rFonts w:ascii="宋体" w:hAnsi="宋体" w:eastAsia="宋体" w:cs="宋体"/>
          <w:color w:val="000000"/>
          <w:sz w:val="24"/>
          <w:u w:val="single"/>
        </w:rPr>
        <w:t xml:space="preserve">无供暖      </w:t>
      </w:r>
      <w:r>
        <w:rPr>
          <w:rFonts w:ascii="宋体" w:hAnsi="宋体" w:eastAsia="宋体" w:cs="宋体"/>
          <w:color w:val="000000"/>
          <w:sz w:val="24"/>
        </w:rPr>
        <w:t>；</w:t>
      </w:r>
      <w:r>
        <w:tab/>
      </w:r>
      <w:r>
        <w:tab/>
      </w:r>
    </w:p>
    <w:p w14:paraId="7EA4F9E9">
      <w:pPr>
        <w:spacing w:line="300" w:lineRule="auto"/>
        <w:ind w:firstLine="480" w:firstLineChars="200"/>
      </w:pPr>
      <w:r>
        <w:rPr>
          <w:rFonts w:ascii="宋体" w:hAnsi="宋体" w:eastAsia="宋体" w:cs="宋体"/>
          <w:color w:val="000000"/>
          <w:sz w:val="24"/>
        </w:rPr>
        <w:t>4.燃气：交付时完成室内燃气管道的敷设，并与城市燃气管网连接，保证燃气供应，</w:t>
      </w:r>
      <w:r>
        <w:rPr>
          <w:rFonts w:ascii="宋体" w:hAnsi="宋体" w:eastAsia="宋体" w:cs="宋体"/>
          <w:color w:val="000000"/>
          <w:sz w:val="24"/>
          <w:u w:val="single"/>
        </w:rPr>
        <w:t>因燃气公司等非出卖人原因造成交付时无法完成的，出卖人无需承担相关违约责任，未尽事宜按本合同附件五约定执行；</w:t>
      </w:r>
    </w:p>
    <w:p w14:paraId="4E7B2DFB">
      <w:pPr>
        <w:spacing w:line="300" w:lineRule="auto"/>
        <w:ind w:firstLine="480" w:firstLineChars="200"/>
      </w:pPr>
      <w:r>
        <w:rPr>
          <w:rFonts w:ascii="宋体" w:hAnsi="宋体" w:eastAsia="宋体" w:cs="宋体"/>
          <w:color w:val="000000"/>
          <w:sz w:val="24"/>
        </w:rPr>
        <w:t>5.电话通信：</w:t>
      </w:r>
      <w:r>
        <w:rPr>
          <w:rFonts w:ascii="宋体" w:hAnsi="宋体" w:eastAsia="宋体" w:cs="宋体"/>
          <w:color w:val="000000"/>
          <w:sz w:val="24"/>
          <w:u w:val="single"/>
        </w:rPr>
        <w:t>交付时线路敷设到户</w:t>
      </w:r>
      <w:r>
        <w:rPr>
          <w:rFonts w:ascii="宋体" w:hAnsi="宋体" w:eastAsia="宋体" w:cs="宋体"/>
          <w:color w:val="000000"/>
          <w:sz w:val="24"/>
        </w:rPr>
        <w:t xml:space="preserve">； </w:t>
      </w:r>
    </w:p>
    <w:p w14:paraId="5DFB3B87">
      <w:pPr>
        <w:spacing w:line="300" w:lineRule="auto"/>
        <w:ind w:firstLine="480" w:firstLineChars="200"/>
      </w:pPr>
      <w:r>
        <w:rPr>
          <w:rFonts w:ascii="宋体" w:hAnsi="宋体" w:eastAsia="宋体" w:cs="宋体"/>
          <w:color w:val="000000"/>
          <w:sz w:val="24"/>
        </w:rPr>
        <w:t>6.有线电视：</w:t>
      </w:r>
      <w:r>
        <w:rPr>
          <w:rFonts w:ascii="宋体" w:hAnsi="宋体" w:eastAsia="宋体" w:cs="宋体"/>
          <w:color w:val="000000"/>
          <w:sz w:val="24"/>
          <w:u w:val="single"/>
        </w:rPr>
        <w:t>交付时线路敷设到户</w:t>
      </w:r>
      <w:r>
        <w:rPr>
          <w:rFonts w:ascii="宋体" w:hAnsi="宋体" w:eastAsia="宋体" w:cs="宋体"/>
          <w:color w:val="000000"/>
          <w:sz w:val="24"/>
        </w:rPr>
        <w:t xml:space="preserve">； </w:t>
      </w:r>
    </w:p>
    <w:p w14:paraId="03A9C08E">
      <w:pPr>
        <w:spacing w:line="300" w:lineRule="auto"/>
        <w:ind w:firstLine="480" w:firstLineChars="200"/>
      </w:pPr>
      <w:r>
        <w:rPr>
          <w:rFonts w:ascii="宋体" w:hAnsi="宋体" w:eastAsia="宋体" w:cs="宋体"/>
          <w:color w:val="000000"/>
          <w:sz w:val="24"/>
        </w:rPr>
        <w:t>7.宽带网络：</w:t>
      </w:r>
      <w:r>
        <w:rPr>
          <w:rFonts w:ascii="宋体" w:hAnsi="宋体" w:eastAsia="宋体" w:cs="宋体"/>
          <w:color w:val="000000"/>
          <w:sz w:val="24"/>
          <w:u w:val="single"/>
        </w:rPr>
        <w:t>交付时线路敷设到户</w:t>
      </w:r>
      <w:r>
        <w:rPr>
          <w:rFonts w:ascii="宋体" w:hAnsi="宋体" w:eastAsia="宋体" w:cs="宋体"/>
          <w:color w:val="000000"/>
          <w:sz w:val="24"/>
        </w:rPr>
        <w:t xml:space="preserve">。 </w:t>
      </w:r>
    </w:p>
    <w:p w14:paraId="3ABA5CB9">
      <w:pPr>
        <w:spacing w:line="300" w:lineRule="auto"/>
        <w:ind w:firstLine="480" w:firstLineChars="200"/>
      </w:pPr>
      <w:r>
        <w:rPr>
          <w:rFonts w:ascii="宋体" w:hAnsi="宋体" w:eastAsia="宋体" w:cs="宋体"/>
          <w:color w:val="000000"/>
          <w:sz w:val="24"/>
        </w:rPr>
        <w:t>以上第1、2、3项由出卖人负责办理开通手续并承担相关费用；第4、5、6、7项需要买受人自行办理开通手续。</w:t>
      </w:r>
    </w:p>
    <w:p w14:paraId="6862E94E">
      <w:pPr>
        <w:spacing w:line="300" w:lineRule="auto"/>
        <w:ind w:firstLine="480" w:firstLineChars="200"/>
      </w:pPr>
      <w:r>
        <w:rPr>
          <w:rFonts w:ascii="宋体" w:hAnsi="宋体" w:eastAsia="宋体" w:cs="宋体"/>
          <w:color w:val="000000"/>
          <w:sz w:val="24"/>
        </w:rPr>
        <w:t>如果在约定期限内基础设施设备未达到交付使用条件，双方同意按照下列第</w:t>
      </w:r>
      <w:r>
        <w:rPr>
          <w:rFonts w:ascii="宋体" w:hAnsi="宋体" w:eastAsia="宋体" w:cs="宋体"/>
          <w:color w:val="000000"/>
          <w:sz w:val="24"/>
          <w:u w:val="single"/>
        </w:rPr>
        <w:t>（2）</w:t>
      </w:r>
      <w:r>
        <w:rPr>
          <w:rFonts w:ascii="宋体" w:hAnsi="宋体" w:eastAsia="宋体" w:cs="宋体"/>
          <w:color w:val="000000"/>
          <w:sz w:val="24"/>
        </w:rPr>
        <w:t>种方式处理：</w:t>
      </w:r>
    </w:p>
    <w:p w14:paraId="6AFECE21">
      <w:pPr>
        <w:spacing w:line="300" w:lineRule="auto"/>
        <w:ind w:firstLine="480" w:firstLineChars="200"/>
      </w:pPr>
      <w:r>
        <w:rPr>
          <w:rFonts w:ascii="宋体" w:hAnsi="宋体" w:eastAsia="宋体" w:cs="宋体"/>
          <w:color w:val="000000"/>
          <w:sz w:val="24"/>
        </w:rPr>
        <w:t>（1）以上设施中第1、2、3、4项在约定交付日未达到交付条件的，出卖人按照本合同第十二条的约定承担逾期交付责任。</w:t>
      </w:r>
    </w:p>
    <w:p w14:paraId="6D442F3C">
      <w:pPr>
        <w:spacing w:line="300" w:lineRule="auto"/>
        <w:ind w:firstLine="480" w:firstLineChars="200"/>
      </w:pPr>
      <w:r>
        <w:rPr>
          <w:rFonts w:ascii="宋体" w:hAnsi="宋体" w:eastAsia="宋体" w:cs="宋体"/>
          <w:color w:val="000000"/>
          <w:sz w:val="24"/>
        </w:rPr>
        <w:t>第5项未按时达到交付使用条件的，出卖人按日向买受人支付</w:t>
      </w:r>
      <w:r>
        <w:rPr>
          <w:rFonts w:ascii="宋体" w:hAnsi="宋体" w:eastAsia="宋体" w:cs="宋体"/>
          <w:color w:val="000000"/>
          <w:sz w:val="24"/>
          <w:u w:val="single"/>
        </w:rPr>
        <w:t xml:space="preserve">  /</w:t>
      </w:r>
      <w:r>
        <w:rPr>
          <w:rFonts w:ascii="宋体" w:hAnsi="宋体" w:eastAsia="宋体" w:cs="宋体"/>
          <w:color w:val="000000"/>
          <w:w w:val="97"/>
          <w:sz w:val="24"/>
          <w:u w:val="single"/>
        </w:rPr>
        <w:t xml:space="preserve">  </w:t>
      </w:r>
      <w:r>
        <w:rPr>
          <w:rFonts w:ascii="宋体" w:hAnsi="宋体" w:eastAsia="宋体" w:cs="宋体"/>
          <w:color w:val="000000"/>
          <w:sz w:val="24"/>
        </w:rPr>
        <w:t>元的违约金；第6项未按时达到交付使用条件的，出卖人按日向买受人支付</w:t>
      </w:r>
      <w:r>
        <w:rPr>
          <w:rFonts w:ascii="宋体" w:hAnsi="宋体" w:eastAsia="宋体" w:cs="宋体"/>
          <w:color w:val="000000"/>
          <w:sz w:val="24"/>
          <w:u w:val="single"/>
        </w:rPr>
        <w:t xml:space="preserve">  / </w:t>
      </w:r>
      <w:r>
        <w:rPr>
          <w:rFonts w:ascii="宋体" w:hAnsi="宋体" w:eastAsia="宋体" w:cs="宋体"/>
          <w:color w:val="000000"/>
          <w:w w:val="97"/>
          <w:sz w:val="24"/>
          <w:u w:val="single"/>
        </w:rPr>
        <w:t xml:space="preserve"> </w:t>
      </w:r>
      <w:r>
        <w:rPr>
          <w:rFonts w:ascii="宋体" w:hAnsi="宋体" w:eastAsia="宋体" w:cs="宋体"/>
          <w:color w:val="000000"/>
          <w:sz w:val="24"/>
        </w:rPr>
        <w:t>元的违约金；第7项未按时达到交付使用条件的，出卖人按日向买受人支付</w:t>
      </w:r>
      <w:r>
        <w:rPr>
          <w:rFonts w:ascii="宋体" w:hAnsi="宋体" w:eastAsia="宋体" w:cs="宋体"/>
          <w:color w:val="000000"/>
          <w:sz w:val="24"/>
          <w:u w:val="single"/>
        </w:rPr>
        <w:t xml:space="preserve">  / </w:t>
      </w:r>
      <w:r>
        <w:rPr>
          <w:rFonts w:ascii="宋体" w:hAnsi="宋体" w:eastAsia="宋体" w:cs="宋体"/>
          <w:color w:val="000000"/>
          <w:w w:val="97"/>
          <w:sz w:val="24"/>
          <w:u w:val="single"/>
        </w:rPr>
        <w:t xml:space="preserve"> </w:t>
      </w:r>
      <w:r>
        <w:rPr>
          <w:rFonts w:ascii="宋体" w:hAnsi="宋体" w:eastAsia="宋体" w:cs="宋体"/>
          <w:color w:val="000000"/>
          <w:sz w:val="24"/>
        </w:rPr>
        <w:t>元的违约金。出卖人采取措施保证相关设施于约定交付日后</w:t>
      </w:r>
      <w:r>
        <w:rPr>
          <w:rFonts w:ascii="宋体" w:hAnsi="宋体" w:eastAsia="宋体" w:cs="宋体"/>
          <w:color w:val="000000"/>
          <w:sz w:val="24"/>
          <w:u w:val="single"/>
        </w:rPr>
        <w:t xml:space="preserve">  /</w:t>
      </w:r>
      <w:r>
        <w:rPr>
          <w:rFonts w:ascii="宋体" w:hAnsi="宋体" w:eastAsia="宋体" w:cs="宋体"/>
          <w:color w:val="000000"/>
          <w:w w:val="97"/>
          <w:sz w:val="24"/>
          <w:u w:val="single"/>
        </w:rPr>
        <w:t xml:space="preserve">  </w:t>
      </w:r>
      <w:r>
        <w:rPr>
          <w:rFonts w:ascii="宋体" w:hAnsi="宋体" w:eastAsia="宋体" w:cs="宋体"/>
          <w:color w:val="000000"/>
          <w:sz w:val="24"/>
        </w:rPr>
        <w:t>日之内达到交付使用条件。</w:t>
      </w:r>
    </w:p>
    <w:p w14:paraId="503D3367">
      <w:pPr>
        <w:spacing w:line="300" w:lineRule="auto"/>
        <w:ind w:firstLine="480" w:firstLineChars="200"/>
      </w:pPr>
      <w:r>
        <w:rPr>
          <w:rFonts w:ascii="宋体" w:hAnsi="宋体" w:eastAsia="宋体" w:cs="宋体"/>
          <w:color w:val="000000"/>
          <w:sz w:val="24"/>
          <w:u w:val="single"/>
        </w:rPr>
        <w:t>（2）以上设施中第 1、2、3项在约定交付日未达到交付条件的（非出卖人原因导致的或已经接通临时用电的除外），出卖人按照本合同第十二条的约定承担逾期交付责任。</w:t>
      </w:r>
    </w:p>
    <w:p w14:paraId="5F5E2F7E">
      <w:pPr>
        <w:spacing w:line="300" w:lineRule="auto"/>
        <w:ind w:firstLine="480" w:firstLineChars="200"/>
      </w:pPr>
      <w:r>
        <w:rPr>
          <w:rFonts w:ascii="宋体" w:hAnsi="宋体" w:eastAsia="宋体" w:cs="宋体"/>
          <w:color w:val="000000"/>
          <w:sz w:val="24"/>
          <w:u w:val="single"/>
        </w:rPr>
        <w:t>第4、5、6、7项未按时达到交付使用条件的，买受人同意双方仍按第十一条约定的交付时间交付商品房，但出卖人应在【 30 】日内完成整改或以替代方式满足买受人有关基础设施设备的使用需求，如出卖人未能在【  30  】日内完成整改或以替代方式满足买受人使用需求的，自第【 31 】日起，出卖人按日向买受人支付【 5 】元的违约金。若交付商品房同时存在多项上述未达交付使用条件情形的，违约金为【 10  】元/日，不予叠加。</w:t>
      </w:r>
    </w:p>
    <w:p w14:paraId="10B73282">
      <w:pPr>
        <w:spacing w:line="300" w:lineRule="auto"/>
        <w:ind w:firstLine="480" w:firstLineChars="200"/>
      </w:pPr>
      <w:r>
        <w:rPr>
          <w:rFonts w:ascii="宋体" w:hAnsi="宋体" w:eastAsia="宋体" w:cs="宋体"/>
          <w:color w:val="000000"/>
          <w:sz w:val="24"/>
        </w:rPr>
        <w:t>（二）公共服务及其他配套设施（以建设工程规划许可为准）</w:t>
      </w:r>
    </w:p>
    <w:p w14:paraId="1A191E05">
      <w:pPr>
        <w:spacing w:line="300" w:lineRule="auto"/>
        <w:ind w:firstLine="480" w:firstLineChars="200"/>
      </w:pPr>
      <w:r>
        <w:rPr>
          <w:rFonts w:ascii="宋体" w:hAnsi="宋体" w:eastAsia="宋体" w:cs="宋体"/>
          <w:color w:val="000000"/>
          <w:sz w:val="24"/>
        </w:rPr>
        <w:t>1.小区内绿地率：</w:t>
      </w:r>
      <w:r>
        <w:rPr>
          <w:rFonts w:ascii="宋体" w:hAnsi="宋体" w:eastAsia="宋体" w:cs="宋体"/>
          <w:color w:val="000000"/>
          <w:sz w:val="24"/>
          <w:u w:val="single"/>
        </w:rPr>
        <w:t xml:space="preserve"> 2027 </w:t>
      </w:r>
      <w:r>
        <w:rPr>
          <w:rFonts w:ascii="宋体" w:hAnsi="宋体" w:eastAsia="宋体" w:cs="宋体"/>
          <w:color w:val="000000"/>
          <w:sz w:val="24"/>
        </w:rPr>
        <w:t>年</w:t>
      </w:r>
      <w:r>
        <w:rPr>
          <w:rFonts w:ascii="宋体" w:hAnsi="宋体" w:eastAsia="宋体" w:cs="宋体"/>
          <w:color w:val="000000"/>
          <w:sz w:val="24"/>
          <w:u w:val="single"/>
        </w:rPr>
        <w:t xml:space="preserve">  12  </w:t>
      </w:r>
      <w:r>
        <w:rPr>
          <w:rFonts w:ascii="宋体" w:hAnsi="宋体" w:eastAsia="宋体" w:cs="宋体"/>
          <w:color w:val="000000"/>
          <w:sz w:val="24"/>
        </w:rPr>
        <w:t>月</w:t>
      </w:r>
      <w:r>
        <w:rPr>
          <w:rFonts w:ascii="宋体" w:hAnsi="宋体" w:eastAsia="宋体" w:cs="宋体"/>
          <w:color w:val="000000"/>
          <w:sz w:val="24"/>
          <w:u w:val="single"/>
        </w:rPr>
        <w:t xml:space="preserve">  31  </w:t>
      </w:r>
      <w:r>
        <w:rPr>
          <w:rFonts w:ascii="宋体" w:hAnsi="宋体" w:eastAsia="宋体" w:cs="宋体"/>
          <w:color w:val="000000"/>
          <w:sz w:val="24"/>
        </w:rPr>
        <w:t>日达到</w:t>
      </w:r>
      <w:r>
        <w:rPr>
          <w:rFonts w:ascii="宋体" w:hAnsi="宋体" w:eastAsia="宋体" w:cs="宋体"/>
          <w:color w:val="000000"/>
          <w:sz w:val="24"/>
          <w:u w:val="single"/>
        </w:rPr>
        <w:t xml:space="preserve"> 绿化验收条件 </w:t>
      </w:r>
      <w:r>
        <w:rPr>
          <w:rFonts w:ascii="宋体" w:hAnsi="宋体" w:eastAsia="宋体" w:cs="宋体"/>
          <w:color w:val="000000"/>
          <w:sz w:val="24"/>
        </w:rPr>
        <w:t>；</w:t>
      </w:r>
    </w:p>
    <w:p w14:paraId="35997F3A">
      <w:pPr>
        <w:spacing w:line="300" w:lineRule="auto"/>
        <w:ind w:firstLine="480" w:firstLineChars="200"/>
      </w:pPr>
      <w:r>
        <w:rPr>
          <w:rFonts w:ascii="宋体" w:hAnsi="宋体" w:eastAsia="宋体" w:cs="宋体"/>
          <w:color w:val="000000"/>
          <w:sz w:val="24"/>
        </w:rPr>
        <w:t>2.小区内非市政道路：</w:t>
      </w:r>
      <w:r>
        <w:rPr>
          <w:rFonts w:ascii="宋体" w:hAnsi="宋体" w:eastAsia="宋体" w:cs="宋体"/>
          <w:color w:val="000000"/>
          <w:sz w:val="24"/>
          <w:u w:val="single"/>
        </w:rPr>
        <w:t xml:space="preserve">  2027   </w:t>
      </w:r>
      <w:r>
        <w:rPr>
          <w:rFonts w:ascii="宋体" w:hAnsi="宋体" w:eastAsia="宋体" w:cs="宋体"/>
          <w:color w:val="000000"/>
          <w:sz w:val="24"/>
        </w:rPr>
        <w:t>年</w:t>
      </w:r>
      <w:r>
        <w:rPr>
          <w:rFonts w:ascii="宋体" w:hAnsi="宋体" w:eastAsia="宋体" w:cs="宋体"/>
          <w:color w:val="000000"/>
          <w:sz w:val="24"/>
          <w:u w:val="single"/>
        </w:rPr>
        <w:t xml:space="preserve">  12  </w:t>
      </w:r>
      <w:r>
        <w:rPr>
          <w:rFonts w:ascii="宋体" w:hAnsi="宋体" w:eastAsia="宋体" w:cs="宋体"/>
          <w:color w:val="000000"/>
          <w:sz w:val="24"/>
        </w:rPr>
        <w:t>月</w:t>
      </w:r>
      <w:r>
        <w:rPr>
          <w:rFonts w:ascii="宋体" w:hAnsi="宋体" w:eastAsia="宋体" w:cs="宋体"/>
          <w:color w:val="000000"/>
          <w:sz w:val="24"/>
          <w:u w:val="single"/>
        </w:rPr>
        <w:t xml:space="preserve">  31   </w:t>
      </w:r>
      <w:r>
        <w:rPr>
          <w:rFonts w:ascii="宋体" w:hAnsi="宋体" w:eastAsia="宋体" w:cs="宋体"/>
          <w:color w:val="000000"/>
          <w:sz w:val="24"/>
        </w:rPr>
        <w:t>日达到</w:t>
      </w:r>
      <w:r>
        <w:rPr>
          <w:rFonts w:ascii="宋体" w:hAnsi="宋体" w:eastAsia="宋体" w:cs="宋体"/>
          <w:color w:val="000000"/>
          <w:sz w:val="24"/>
          <w:u w:val="single"/>
        </w:rPr>
        <w:t xml:space="preserve">  建设工程竣工验收条件  </w:t>
      </w:r>
      <w:r>
        <w:rPr>
          <w:rFonts w:ascii="宋体" w:hAnsi="宋体" w:eastAsia="宋体" w:cs="宋体"/>
          <w:color w:val="000000"/>
          <w:sz w:val="24"/>
        </w:rPr>
        <w:t>；</w:t>
      </w:r>
    </w:p>
    <w:p w14:paraId="761E65A3">
      <w:pPr>
        <w:spacing w:line="300" w:lineRule="auto"/>
        <w:ind w:firstLine="480" w:firstLineChars="200"/>
      </w:pPr>
      <w:r>
        <w:rPr>
          <w:rFonts w:ascii="宋体" w:hAnsi="宋体" w:eastAsia="宋体" w:cs="宋体"/>
          <w:color w:val="000000"/>
          <w:sz w:val="24"/>
        </w:rPr>
        <w:t>3.规划的车位、车库：</w:t>
      </w:r>
      <w:r>
        <w:rPr>
          <w:rFonts w:ascii="宋体" w:hAnsi="宋体" w:eastAsia="宋体" w:cs="宋体"/>
          <w:color w:val="000000"/>
          <w:sz w:val="24"/>
          <w:u w:val="single"/>
        </w:rPr>
        <w:t xml:space="preserve">   2027   </w:t>
      </w:r>
      <w:r>
        <w:rPr>
          <w:rFonts w:ascii="宋体" w:hAnsi="宋体" w:eastAsia="宋体" w:cs="宋体"/>
          <w:color w:val="000000"/>
          <w:sz w:val="24"/>
        </w:rPr>
        <w:t>年</w:t>
      </w:r>
      <w:r>
        <w:rPr>
          <w:rFonts w:ascii="宋体" w:hAnsi="宋体" w:eastAsia="宋体" w:cs="宋体"/>
          <w:color w:val="000000"/>
          <w:sz w:val="24"/>
          <w:u w:val="single"/>
        </w:rPr>
        <w:t xml:space="preserve">  12  </w:t>
      </w:r>
      <w:r>
        <w:rPr>
          <w:rFonts w:ascii="宋体" w:hAnsi="宋体" w:eastAsia="宋体" w:cs="宋体"/>
          <w:color w:val="000000"/>
          <w:sz w:val="24"/>
        </w:rPr>
        <w:t>月</w:t>
      </w:r>
      <w:r>
        <w:rPr>
          <w:rFonts w:ascii="宋体" w:hAnsi="宋体" w:eastAsia="宋体" w:cs="宋体"/>
          <w:color w:val="000000"/>
          <w:sz w:val="24"/>
          <w:u w:val="single"/>
        </w:rPr>
        <w:t xml:space="preserve">   31   </w:t>
      </w:r>
      <w:r>
        <w:rPr>
          <w:rFonts w:ascii="宋体" w:hAnsi="宋体" w:eastAsia="宋体" w:cs="宋体"/>
          <w:color w:val="000000"/>
          <w:sz w:val="24"/>
        </w:rPr>
        <w:t>日达到</w:t>
      </w:r>
      <w:r>
        <w:rPr>
          <w:rFonts w:ascii="宋体" w:hAnsi="宋体" w:eastAsia="宋体" w:cs="宋体"/>
          <w:color w:val="000000"/>
          <w:sz w:val="24"/>
          <w:u w:val="single"/>
        </w:rPr>
        <w:t xml:space="preserve">  建设工程竣工验收条件 </w:t>
      </w:r>
      <w:r>
        <w:rPr>
          <w:rFonts w:ascii="宋体" w:hAnsi="宋体" w:eastAsia="宋体" w:cs="宋体"/>
          <w:color w:val="000000"/>
          <w:sz w:val="24"/>
        </w:rPr>
        <w:t>；</w:t>
      </w:r>
    </w:p>
    <w:p w14:paraId="5B534488">
      <w:pPr>
        <w:spacing w:line="300" w:lineRule="auto"/>
        <w:ind w:firstLine="480" w:firstLineChars="200"/>
      </w:pPr>
      <w:r>
        <w:rPr>
          <w:rFonts w:ascii="宋体" w:hAnsi="宋体" w:eastAsia="宋体" w:cs="宋体"/>
          <w:color w:val="000000"/>
          <w:sz w:val="24"/>
        </w:rPr>
        <w:t>4.物业服务用房：</w:t>
      </w:r>
      <w:r>
        <w:rPr>
          <w:rFonts w:ascii="宋体" w:hAnsi="宋体" w:eastAsia="宋体" w:cs="宋体"/>
          <w:color w:val="000000"/>
          <w:sz w:val="24"/>
          <w:u w:val="single"/>
        </w:rPr>
        <w:t xml:space="preserve">   2027   </w:t>
      </w:r>
      <w:r>
        <w:rPr>
          <w:rFonts w:ascii="宋体" w:hAnsi="宋体" w:eastAsia="宋体" w:cs="宋体"/>
          <w:color w:val="000000"/>
          <w:sz w:val="24"/>
        </w:rPr>
        <w:t>年</w:t>
      </w:r>
      <w:r>
        <w:rPr>
          <w:rFonts w:ascii="宋体" w:hAnsi="宋体" w:eastAsia="宋体" w:cs="宋体"/>
          <w:color w:val="000000"/>
          <w:sz w:val="24"/>
          <w:u w:val="single"/>
        </w:rPr>
        <w:t xml:space="preserve">  12   </w:t>
      </w:r>
      <w:r>
        <w:rPr>
          <w:rFonts w:ascii="宋体" w:hAnsi="宋体" w:eastAsia="宋体" w:cs="宋体"/>
          <w:color w:val="000000"/>
          <w:sz w:val="24"/>
        </w:rPr>
        <w:t>月</w:t>
      </w:r>
      <w:r>
        <w:rPr>
          <w:rFonts w:ascii="宋体" w:hAnsi="宋体" w:eastAsia="宋体" w:cs="宋体"/>
          <w:color w:val="000000"/>
          <w:sz w:val="24"/>
          <w:u w:val="single"/>
        </w:rPr>
        <w:t xml:space="preserve"> 31  </w:t>
      </w:r>
      <w:r>
        <w:rPr>
          <w:rFonts w:ascii="宋体" w:hAnsi="宋体" w:eastAsia="宋体" w:cs="宋体"/>
          <w:color w:val="000000"/>
          <w:sz w:val="24"/>
        </w:rPr>
        <w:t>日 达到</w:t>
      </w:r>
      <w:r>
        <w:rPr>
          <w:rFonts w:ascii="宋体" w:hAnsi="宋体" w:eastAsia="宋体" w:cs="宋体"/>
          <w:color w:val="000000"/>
          <w:sz w:val="24"/>
          <w:u w:val="single"/>
        </w:rPr>
        <w:t xml:space="preserve"> 建设工程竣工验收条件  </w:t>
      </w:r>
      <w:r>
        <w:rPr>
          <w:rFonts w:ascii="宋体" w:hAnsi="宋体" w:eastAsia="宋体" w:cs="宋体"/>
          <w:color w:val="000000"/>
          <w:sz w:val="24"/>
        </w:rPr>
        <w:t>；</w:t>
      </w:r>
    </w:p>
    <w:p w14:paraId="6F1A8024">
      <w:pPr>
        <w:spacing w:line="300" w:lineRule="auto"/>
        <w:ind w:firstLine="480" w:firstLineChars="200"/>
      </w:pPr>
      <w:r>
        <w:rPr>
          <w:rFonts w:ascii="宋体" w:hAnsi="宋体" w:eastAsia="宋体" w:cs="宋体"/>
          <w:color w:val="000000"/>
          <w:sz w:val="24"/>
        </w:rPr>
        <w:t>5.医疗卫生机构：</w:t>
      </w:r>
      <w:r>
        <w:rPr>
          <w:rFonts w:ascii="宋体" w:hAnsi="宋体" w:eastAsia="宋体" w:cs="宋体"/>
          <w:color w:val="000000"/>
          <w:sz w:val="24"/>
          <w:u w:val="single"/>
        </w:rPr>
        <w:t xml:space="preserve">    /   </w:t>
      </w:r>
      <w:r>
        <w:rPr>
          <w:rFonts w:ascii="宋体" w:hAnsi="宋体" w:eastAsia="宋体" w:cs="宋体"/>
          <w:color w:val="000000"/>
          <w:sz w:val="24"/>
        </w:rPr>
        <w:t>年</w:t>
      </w:r>
      <w:r>
        <w:rPr>
          <w:rFonts w:ascii="宋体" w:hAnsi="宋体" w:eastAsia="宋体" w:cs="宋体"/>
          <w:color w:val="000000"/>
          <w:sz w:val="24"/>
          <w:u w:val="single"/>
        </w:rPr>
        <w:t xml:space="preserve">  /    </w:t>
      </w:r>
      <w:r>
        <w:rPr>
          <w:rFonts w:ascii="宋体" w:hAnsi="宋体" w:eastAsia="宋体" w:cs="宋体"/>
          <w:color w:val="000000"/>
          <w:sz w:val="24"/>
        </w:rPr>
        <w:t>月</w:t>
      </w:r>
      <w:r>
        <w:rPr>
          <w:rFonts w:ascii="宋体" w:hAnsi="宋体" w:eastAsia="宋体" w:cs="宋体"/>
          <w:color w:val="000000"/>
          <w:sz w:val="24"/>
          <w:u w:val="single"/>
        </w:rPr>
        <w:t xml:space="preserve">    /  </w:t>
      </w:r>
      <w:r>
        <w:rPr>
          <w:rFonts w:ascii="宋体" w:hAnsi="宋体" w:eastAsia="宋体" w:cs="宋体"/>
          <w:color w:val="000000"/>
          <w:sz w:val="24"/>
        </w:rPr>
        <w:t>日达到</w:t>
      </w:r>
      <w:r>
        <w:rPr>
          <w:rFonts w:ascii="宋体" w:hAnsi="宋体" w:eastAsia="宋体" w:cs="宋体"/>
          <w:color w:val="000000"/>
          <w:sz w:val="24"/>
          <w:u w:val="single"/>
        </w:rPr>
        <w:t xml:space="preserve">    /       </w:t>
      </w:r>
      <w:r>
        <w:rPr>
          <w:rFonts w:ascii="宋体" w:hAnsi="宋体" w:eastAsia="宋体" w:cs="宋体"/>
          <w:color w:val="000000"/>
          <w:sz w:val="24"/>
        </w:rPr>
        <w:t xml:space="preserve">； </w:t>
      </w:r>
    </w:p>
    <w:p w14:paraId="21FBA11B">
      <w:pPr>
        <w:spacing w:line="300" w:lineRule="auto"/>
        <w:ind w:firstLine="480" w:firstLineChars="200"/>
      </w:pPr>
      <w:r>
        <w:rPr>
          <w:rFonts w:ascii="宋体" w:hAnsi="宋体" w:eastAsia="宋体" w:cs="宋体"/>
          <w:color w:val="000000"/>
          <w:sz w:val="24"/>
        </w:rPr>
        <w:t>6.幼儿园：</w:t>
      </w:r>
      <w:r>
        <w:rPr>
          <w:rFonts w:ascii="宋体" w:hAnsi="宋体" w:eastAsia="宋体" w:cs="宋体"/>
          <w:color w:val="000000"/>
          <w:sz w:val="24"/>
          <w:u w:val="single"/>
        </w:rPr>
        <w:t xml:space="preserve">    /   </w:t>
      </w:r>
      <w:r>
        <w:rPr>
          <w:rFonts w:ascii="宋体" w:hAnsi="宋体" w:eastAsia="宋体" w:cs="宋体"/>
          <w:color w:val="000000"/>
          <w:sz w:val="24"/>
        </w:rPr>
        <w:t>年</w:t>
      </w:r>
      <w:r>
        <w:rPr>
          <w:rFonts w:ascii="宋体" w:hAnsi="宋体" w:eastAsia="宋体" w:cs="宋体"/>
          <w:color w:val="000000"/>
          <w:sz w:val="24"/>
          <w:u w:val="single"/>
        </w:rPr>
        <w:t xml:space="preserve"> /     </w:t>
      </w:r>
      <w:r>
        <w:rPr>
          <w:rFonts w:ascii="宋体" w:hAnsi="宋体" w:eastAsia="宋体" w:cs="宋体"/>
          <w:color w:val="000000"/>
          <w:sz w:val="24"/>
        </w:rPr>
        <w:t>月</w:t>
      </w:r>
      <w:r>
        <w:rPr>
          <w:rFonts w:ascii="宋体" w:hAnsi="宋体" w:eastAsia="宋体" w:cs="宋体"/>
          <w:color w:val="000000"/>
          <w:sz w:val="24"/>
          <w:u w:val="single"/>
        </w:rPr>
        <w:t xml:space="preserve">    /  </w:t>
      </w:r>
      <w:r>
        <w:rPr>
          <w:rFonts w:ascii="宋体" w:hAnsi="宋体" w:eastAsia="宋体" w:cs="宋体"/>
          <w:color w:val="000000"/>
          <w:sz w:val="24"/>
        </w:rPr>
        <w:t>日达到</w:t>
      </w:r>
      <w:r>
        <w:rPr>
          <w:rFonts w:ascii="宋体" w:hAnsi="宋体" w:eastAsia="宋体" w:cs="宋体"/>
          <w:color w:val="000000"/>
          <w:sz w:val="24"/>
          <w:u w:val="single"/>
        </w:rPr>
        <w:t xml:space="preserve">      /           </w:t>
      </w:r>
      <w:r>
        <w:rPr>
          <w:rFonts w:ascii="宋体" w:hAnsi="宋体" w:eastAsia="宋体" w:cs="宋体"/>
          <w:color w:val="000000"/>
          <w:sz w:val="24"/>
        </w:rPr>
        <w:t>；</w:t>
      </w:r>
    </w:p>
    <w:p w14:paraId="37E2E0D9">
      <w:pPr>
        <w:spacing w:line="300" w:lineRule="auto"/>
        <w:ind w:firstLine="480" w:firstLineChars="200"/>
      </w:pPr>
      <w:r>
        <w:rPr>
          <w:rFonts w:ascii="宋体" w:hAnsi="宋体" w:eastAsia="宋体" w:cs="宋体"/>
          <w:color w:val="000000"/>
          <w:sz w:val="24"/>
        </w:rPr>
        <w:t>7.学校：</w:t>
      </w:r>
      <w:r>
        <w:rPr>
          <w:rFonts w:ascii="宋体" w:hAnsi="宋体" w:eastAsia="宋体" w:cs="宋体"/>
          <w:color w:val="000000"/>
          <w:sz w:val="24"/>
          <w:u w:val="single"/>
        </w:rPr>
        <w:t xml:space="preserve">  /     </w:t>
      </w:r>
      <w:r>
        <w:rPr>
          <w:rFonts w:ascii="宋体" w:hAnsi="宋体" w:eastAsia="宋体" w:cs="宋体"/>
          <w:color w:val="000000"/>
          <w:sz w:val="24"/>
        </w:rPr>
        <w:t>年</w:t>
      </w:r>
      <w:r>
        <w:rPr>
          <w:rFonts w:ascii="宋体" w:hAnsi="宋体" w:eastAsia="宋体" w:cs="宋体"/>
          <w:color w:val="000000"/>
          <w:sz w:val="24"/>
          <w:u w:val="single"/>
        </w:rPr>
        <w:t xml:space="preserve">  /   </w:t>
      </w:r>
      <w:r>
        <w:rPr>
          <w:rFonts w:ascii="宋体" w:hAnsi="宋体" w:eastAsia="宋体" w:cs="宋体"/>
          <w:color w:val="000000"/>
          <w:sz w:val="24"/>
        </w:rPr>
        <w:t>月</w:t>
      </w:r>
      <w:r>
        <w:rPr>
          <w:rFonts w:ascii="宋体" w:hAnsi="宋体" w:eastAsia="宋体" w:cs="宋体"/>
          <w:color w:val="000000"/>
          <w:sz w:val="24"/>
          <w:u w:val="single"/>
        </w:rPr>
        <w:t xml:space="preserve">   /  </w:t>
      </w:r>
      <w:r>
        <w:rPr>
          <w:rFonts w:ascii="宋体" w:hAnsi="宋体" w:eastAsia="宋体" w:cs="宋体"/>
          <w:color w:val="000000"/>
          <w:sz w:val="24"/>
        </w:rPr>
        <w:t>日达到</w:t>
      </w:r>
      <w:r>
        <w:rPr>
          <w:rFonts w:ascii="宋体" w:hAnsi="宋体" w:eastAsia="宋体" w:cs="宋体"/>
          <w:color w:val="000000"/>
          <w:sz w:val="24"/>
          <w:u w:val="single"/>
        </w:rPr>
        <w:t xml:space="preserve">        /             </w:t>
      </w:r>
      <w:r>
        <w:rPr>
          <w:rFonts w:ascii="宋体" w:hAnsi="宋体" w:eastAsia="宋体" w:cs="宋体"/>
          <w:color w:val="000000"/>
          <w:sz w:val="24"/>
        </w:rPr>
        <w:t>；</w:t>
      </w:r>
    </w:p>
    <w:p w14:paraId="01FD4B1F">
      <w:pPr>
        <w:spacing w:line="300" w:lineRule="auto"/>
        <w:ind w:firstLine="480" w:firstLineChars="200"/>
      </w:pPr>
      <w:r>
        <w:rPr>
          <w:rFonts w:ascii="宋体" w:hAnsi="宋体" w:eastAsia="宋体" w:cs="宋体"/>
          <w:color w:val="000000"/>
          <w:sz w:val="24"/>
        </w:rPr>
        <w:t xml:space="preserve">8.   </w:t>
      </w:r>
      <w:r>
        <w:rPr>
          <w:rFonts w:ascii="宋体" w:hAnsi="宋体" w:eastAsia="宋体" w:cs="宋体"/>
          <w:color w:val="000000"/>
          <w:sz w:val="24"/>
          <w:u w:val="single"/>
        </w:rPr>
        <w:t xml:space="preserve">                  /                                                             </w:t>
      </w:r>
    </w:p>
    <w:p w14:paraId="423A31FF">
      <w:pPr>
        <w:spacing w:line="300" w:lineRule="auto"/>
        <w:ind w:firstLine="480" w:firstLineChars="200"/>
      </w:pPr>
      <w:r>
        <w:rPr>
          <w:rFonts w:ascii="宋体" w:hAnsi="宋体" w:eastAsia="宋体" w:cs="宋体"/>
          <w:color w:val="000000"/>
          <w:sz w:val="24"/>
        </w:rPr>
        <w:t xml:space="preserve">9.  </w:t>
      </w:r>
      <w:r>
        <w:rPr>
          <w:rFonts w:ascii="宋体" w:hAnsi="宋体" w:eastAsia="宋体" w:cs="宋体"/>
          <w:color w:val="000000"/>
          <w:sz w:val="24"/>
          <w:u w:val="single"/>
        </w:rPr>
        <w:t xml:space="preserve">                   /                                                            </w:t>
      </w:r>
      <w:r>
        <w:rPr>
          <w:rFonts w:ascii="宋体" w:hAnsi="宋体" w:eastAsia="宋体" w:cs="宋体"/>
          <w:color w:val="000000"/>
          <w:sz w:val="24"/>
        </w:rPr>
        <w:t xml:space="preserve"> </w:t>
      </w:r>
    </w:p>
    <w:p w14:paraId="7C0F5603">
      <w:pPr>
        <w:spacing w:line="300" w:lineRule="auto"/>
        <w:ind w:firstLine="480" w:firstLineChars="200"/>
      </w:pPr>
      <w:r>
        <w:rPr>
          <w:rFonts w:ascii="宋体" w:hAnsi="宋体" w:eastAsia="宋体" w:cs="宋体"/>
          <w:color w:val="000000"/>
          <w:sz w:val="24"/>
        </w:rPr>
        <w:t>以上设施未达到上述条件的，双方同意按照以下方式处理：</w:t>
      </w:r>
    </w:p>
    <w:p w14:paraId="5E110B42">
      <w:pPr>
        <w:spacing w:line="300" w:lineRule="auto"/>
        <w:ind w:firstLine="480" w:firstLineChars="200"/>
      </w:pPr>
      <w:r>
        <w:rPr>
          <w:rFonts w:ascii="宋体" w:hAnsi="宋体" w:eastAsia="宋体" w:cs="宋体"/>
          <w:color w:val="000000"/>
          <w:sz w:val="24"/>
        </w:rPr>
        <w:t>1.小区内绿地率未达到上述约定条件的，</w:t>
      </w:r>
      <w:r>
        <w:rPr>
          <w:rFonts w:ascii="宋体" w:hAnsi="宋体" w:eastAsia="宋体" w:cs="宋体"/>
          <w:color w:val="000000"/>
          <w:sz w:val="24"/>
          <w:u w:val="single"/>
        </w:rPr>
        <w:t xml:space="preserve"> </w:t>
      </w:r>
      <w:r>
        <w:rPr>
          <w:rFonts w:ascii="宋体" w:hAnsi="宋体" w:eastAsia="宋体" w:cs="宋体"/>
          <w:b/>
          <w:color w:val="000000"/>
          <w:sz w:val="24"/>
          <w:u w:val="single"/>
        </w:rPr>
        <w:t>不影响该商品房按第十一条约定的交付时间交付，出卖人应予整改，但不构成逾期交付</w:t>
      </w:r>
      <w:r>
        <w:rPr>
          <w:rFonts w:ascii="宋体" w:hAnsi="宋体" w:eastAsia="宋体" w:cs="宋体"/>
          <w:color w:val="000000"/>
          <w:sz w:val="24"/>
          <w:u w:val="single"/>
        </w:rPr>
        <w:t xml:space="preserve"> </w:t>
      </w:r>
      <w:r>
        <w:rPr>
          <w:rFonts w:ascii="宋体" w:hAnsi="宋体" w:eastAsia="宋体" w:cs="宋体"/>
          <w:b/>
          <w:color w:val="000000"/>
          <w:sz w:val="24"/>
          <w:u w:val="single"/>
        </w:rPr>
        <w:t>。</w:t>
      </w:r>
    </w:p>
    <w:p w14:paraId="6AD2B02D">
      <w:pPr>
        <w:spacing w:line="300" w:lineRule="auto"/>
        <w:ind w:firstLine="480" w:firstLineChars="200"/>
      </w:pPr>
      <w:r>
        <w:rPr>
          <w:rFonts w:ascii="宋体" w:hAnsi="宋体" w:eastAsia="宋体" w:cs="宋体"/>
          <w:color w:val="000000"/>
          <w:sz w:val="24"/>
        </w:rPr>
        <w:t>2.小区内非市政道路未达到上述约定条件的，</w:t>
      </w:r>
      <w:r>
        <w:rPr>
          <w:rFonts w:ascii="宋体" w:hAnsi="宋体" w:eastAsia="宋体" w:cs="宋体"/>
          <w:color w:val="000000"/>
          <w:sz w:val="24"/>
          <w:u w:val="single"/>
        </w:rPr>
        <w:t xml:space="preserve"> </w:t>
      </w:r>
      <w:r>
        <w:rPr>
          <w:rFonts w:ascii="宋体" w:hAnsi="宋体" w:eastAsia="宋体" w:cs="宋体"/>
          <w:b/>
          <w:color w:val="000000"/>
          <w:sz w:val="24"/>
          <w:u w:val="single"/>
        </w:rPr>
        <w:t>不影响该商品房按第十一条约定的交付时间交付，出卖人应予整改，但不构成逾期交付</w:t>
      </w:r>
      <w:r>
        <w:rPr>
          <w:rFonts w:ascii="宋体" w:hAnsi="宋体" w:eastAsia="宋体" w:cs="宋体"/>
          <w:color w:val="000000"/>
          <w:sz w:val="24"/>
          <w:u w:val="single"/>
        </w:rPr>
        <w:t xml:space="preserve">  </w:t>
      </w:r>
      <w:r>
        <w:rPr>
          <w:rFonts w:ascii="宋体" w:hAnsi="宋体" w:eastAsia="宋体" w:cs="宋体"/>
          <w:color w:val="000000"/>
          <w:sz w:val="24"/>
        </w:rPr>
        <w:t>。</w:t>
      </w:r>
    </w:p>
    <w:p w14:paraId="35F2C488">
      <w:pPr>
        <w:spacing w:line="300" w:lineRule="auto"/>
        <w:ind w:firstLine="480" w:firstLineChars="200"/>
      </w:pPr>
      <w:r>
        <w:rPr>
          <w:rFonts w:ascii="宋体" w:hAnsi="宋体" w:eastAsia="宋体" w:cs="宋体"/>
          <w:color w:val="000000"/>
          <w:sz w:val="24"/>
        </w:rPr>
        <w:t>3.规划的车位、车库未达到上述约定条件的，</w:t>
      </w:r>
      <w:r>
        <w:rPr>
          <w:rFonts w:ascii="宋体" w:hAnsi="宋体" w:eastAsia="宋体" w:cs="宋体"/>
          <w:b/>
          <w:color w:val="000000"/>
          <w:sz w:val="24"/>
          <w:u w:val="single"/>
        </w:rPr>
        <w:t xml:space="preserve"> 不影响该商品房按第十一条约定的交付时间交付，出卖人应予整改，但不构成逾期交付  </w:t>
      </w:r>
      <w:r>
        <w:rPr>
          <w:rFonts w:ascii="宋体" w:hAnsi="宋体" w:eastAsia="宋体" w:cs="宋体"/>
          <w:color w:val="000000"/>
          <w:sz w:val="24"/>
        </w:rPr>
        <w:t>。</w:t>
      </w:r>
    </w:p>
    <w:p w14:paraId="4C98DF46">
      <w:pPr>
        <w:spacing w:line="300" w:lineRule="auto"/>
        <w:ind w:firstLine="480" w:firstLineChars="200"/>
      </w:pPr>
      <w:r>
        <w:rPr>
          <w:rFonts w:ascii="宋体" w:hAnsi="宋体" w:eastAsia="宋体" w:cs="宋体"/>
          <w:color w:val="000000"/>
          <w:sz w:val="24"/>
        </w:rPr>
        <w:t>4.物业服务用房未达到上述约定条件的，</w:t>
      </w:r>
      <w:r>
        <w:rPr>
          <w:rFonts w:ascii="宋体" w:hAnsi="宋体" w:eastAsia="宋体" w:cs="宋体"/>
          <w:b/>
          <w:color w:val="000000"/>
          <w:sz w:val="24"/>
          <w:u w:val="single"/>
        </w:rPr>
        <w:t xml:space="preserve"> 不影响该商品房按第十一条约定的交付时间交付，出卖人应予整改，但不构成逾期交付 </w:t>
      </w:r>
      <w:r>
        <w:rPr>
          <w:rFonts w:ascii="宋体" w:hAnsi="宋体" w:eastAsia="宋体" w:cs="宋体"/>
          <w:color w:val="000000"/>
          <w:sz w:val="24"/>
        </w:rPr>
        <w:t>。</w:t>
      </w:r>
    </w:p>
    <w:p w14:paraId="61735C47">
      <w:pPr>
        <w:spacing w:line="300" w:lineRule="auto"/>
        <w:ind w:firstLine="480" w:firstLineChars="200"/>
      </w:pPr>
      <w:r>
        <w:rPr>
          <w:rFonts w:ascii="宋体" w:hAnsi="宋体" w:eastAsia="宋体" w:cs="宋体"/>
          <w:color w:val="000000"/>
          <w:sz w:val="24"/>
        </w:rPr>
        <w:t>5.其他设施未达到上述约定条件的，</w:t>
      </w:r>
      <w:r>
        <w:rPr>
          <w:rFonts w:ascii="宋体" w:hAnsi="宋体" w:eastAsia="宋体" w:cs="宋体"/>
          <w:b/>
          <w:color w:val="000000"/>
          <w:sz w:val="24"/>
          <w:u w:val="single"/>
        </w:rPr>
        <w:t xml:space="preserve"> 不影响该商品房按第十一条约定的交付时间交付，出卖人应予整改，但不构成逾期交付 </w:t>
      </w:r>
      <w:r>
        <w:rPr>
          <w:rFonts w:ascii="宋体" w:hAnsi="宋体" w:eastAsia="宋体" w:cs="宋体"/>
          <w:color w:val="000000"/>
          <w:sz w:val="24"/>
        </w:rPr>
        <w:t>。</w:t>
      </w:r>
    </w:p>
    <w:p w14:paraId="11C4EEBE">
      <w:pPr>
        <w:spacing w:line="300" w:lineRule="auto"/>
        <w:ind w:firstLine="480" w:firstLineChars="200"/>
      </w:pPr>
      <w:r>
        <w:rPr>
          <w:rFonts w:ascii="宋体" w:hAnsi="宋体" w:eastAsia="宋体" w:cs="宋体"/>
          <w:color w:val="000000"/>
          <w:sz w:val="24"/>
        </w:rPr>
        <w:t xml:space="preserve">关于本项目内相关设施设备的具体约定见附件五。 </w:t>
      </w:r>
    </w:p>
    <w:p w14:paraId="7139A378">
      <w:pPr>
        <w:spacing w:line="300" w:lineRule="auto"/>
        <w:ind w:firstLine="482" w:firstLineChars="200"/>
      </w:pPr>
      <w:r>
        <w:rPr>
          <w:rFonts w:ascii="宋体" w:hAnsi="宋体" w:eastAsia="宋体" w:cs="宋体"/>
          <w:b/>
          <w:color w:val="000000"/>
          <w:sz w:val="24"/>
        </w:rPr>
        <w:t>第十一条 交付时间和手续</w:t>
      </w:r>
    </w:p>
    <w:p w14:paraId="1E26680E">
      <w:pPr>
        <w:spacing w:line="300" w:lineRule="auto"/>
        <w:ind w:firstLine="480" w:firstLineChars="200"/>
      </w:pPr>
      <w:r>
        <w:rPr>
          <w:rFonts w:ascii="宋体" w:hAnsi="宋体" w:eastAsia="宋体" w:cs="宋体"/>
          <w:color w:val="000000"/>
          <w:sz w:val="24"/>
        </w:rPr>
        <w:t>（一）出卖人应当在</w:t>
      </w:r>
      <w:r>
        <w:rPr>
          <w:rFonts w:ascii="宋体" w:hAnsi="宋体" w:eastAsia="宋体" w:cs="宋体"/>
          <w:color w:val="000000"/>
          <w:sz w:val="24"/>
          <w:u w:val="single"/>
        </w:rPr>
        <w:t xml:space="preserve">  2027  </w:t>
      </w:r>
      <w:r>
        <w:rPr>
          <w:rFonts w:ascii="宋体" w:hAnsi="宋体" w:eastAsia="宋体" w:cs="宋体"/>
          <w:color w:val="000000"/>
          <w:sz w:val="24"/>
        </w:rPr>
        <w:t>年</w:t>
      </w:r>
      <w:r>
        <w:rPr>
          <w:rFonts w:ascii="宋体" w:hAnsi="宋体" w:eastAsia="宋体" w:cs="宋体"/>
          <w:color w:val="000000"/>
          <w:sz w:val="24"/>
          <w:u w:val="single"/>
        </w:rPr>
        <w:t xml:space="preserve">  12  </w:t>
      </w:r>
      <w:r>
        <w:rPr>
          <w:rFonts w:ascii="宋体" w:hAnsi="宋体" w:eastAsia="宋体" w:cs="宋体"/>
          <w:color w:val="000000"/>
          <w:sz w:val="24"/>
        </w:rPr>
        <w:t>月</w:t>
      </w:r>
      <w:r>
        <w:rPr>
          <w:rFonts w:ascii="宋体" w:hAnsi="宋体" w:eastAsia="宋体" w:cs="宋体"/>
          <w:color w:val="000000"/>
          <w:sz w:val="24"/>
          <w:u w:val="single"/>
        </w:rPr>
        <w:t xml:space="preserve">  31   </w:t>
      </w:r>
      <w:r>
        <w:rPr>
          <w:rFonts w:ascii="宋体" w:hAnsi="宋体" w:eastAsia="宋体" w:cs="宋体"/>
          <w:color w:val="000000"/>
          <w:sz w:val="24"/>
        </w:rPr>
        <w:t>日前向买受人交付该商品房。</w:t>
      </w:r>
    </w:p>
    <w:p w14:paraId="46C49F93">
      <w:pPr>
        <w:spacing w:line="300" w:lineRule="auto"/>
        <w:ind w:firstLine="480" w:firstLineChars="200"/>
      </w:pPr>
      <w:r>
        <w:rPr>
          <w:rFonts w:ascii="宋体" w:hAnsi="宋体" w:eastAsia="宋体" w:cs="宋体"/>
          <w:color w:val="000000"/>
          <w:sz w:val="24"/>
        </w:rPr>
        <w:t>（二）该商品房达到第九条、第十条约定的交付条件后，出卖人应当在交付日期届满前</w:t>
      </w:r>
      <w:r>
        <w:rPr>
          <w:rFonts w:ascii="宋体" w:hAnsi="宋体" w:eastAsia="宋体" w:cs="宋体"/>
          <w:color w:val="000000"/>
          <w:sz w:val="24"/>
          <w:u w:val="single"/>
        </w:rPr>
        <w:t xml:space="preserve">  10  </w:t>
      </w:r>
      <w:r>
        <w:rPr>
          <w:rFonts w:ascii="宋体" w:hAnsi="宋体" w:eastAsia="宋体" w:cs="宋体"/>
          <w:color w:val="000000"/>
          <w:sz w:val="24"/>
        </w:rPr>
        <w:t>日（不少于10日）将查验房屋的时间、办理交付手续的时间地点以及应当携带的证件材料的通知书面送达买受人。买受人未收到交付通知书的，以本合同约定的交付日期届满之日为办理交付手续的时间，以该商品房所在地为办理交付手续的地点。</w:t>
      </w:r>
    </w:p>
    <w:p w14:paraId="343D4D4B">
      <w:pPr>
        <w:spacing w:line="300" w:lineRule="auto"/>
        <w:ind w:firstLine="480" w:firstLineChars="200"/>
      </w:pPr>
      <w:r>
        <w:rPr>
          <w:rFonts w:ascii="宋体" w:hAnsi="宋体" w:eastAsia="宋体" w:cs="宋体"/>
          <w:color w:val="000000"/>
          <w:sz w:val="24"/>
          <w:u w:val="single"/>
        </w:rPr>
        <w:t>1、如遇到下列特殊原因，出卖人可据实予以延期，不视为出卖人逾期交付：</w:t>
      </w:r>
    </w:p>
    <w:p w14:paraId="202BDEC8">
      <w:pPr>
        <w:spacing w:line="300" w:lineRule="auto"/>
        <w:ind w:firstLine="480" w:firstLineChars="200"/>
      </w:pPr>
      <w:r>
        <w:rPr>
          <w:rFonts w:ascii="宋体" w:hAnsi="宋体" w:eastAsia="宋体" w:cs="宋体"/>
          <w:color w:val="000000"/>
          <w:sz w:val="24"/>
          <w:u w:val="single"/>
        </w:rPr>
        <w:t>（1）遭遇不可抗力，且出卖人在具备通知条件后60日内告知买受人的。不可抗力及免责事由的范围包括下列情况：台风、地震、洪灾等自然灾害，战争、动乱、大规模流行性疾病等社会事件、影响持续生产的大型国内国际会议、赛事等社会活动，以及法律法规和政策的改变等政府行为。</w:t>
      </w:r>
    </w:p>
    <w:p w14:paraId="619679FC">
      <w:pPr>
        <w:spacing w:line="300" w:lineRule="auto"/>
        <w:ind w:firstLine="480" w:firstLineChars="200"/>
      </w:pPr>
      <w:r>
        <w:rPr>
          <w:rFonts w:ascii="宋体" w:hAnsi="宋体" w:eastAsia="宋体" w:cs="宋体"/>
          <w:color w:val="000000"/>
          <w:sz w:val="24"/>
          <w:u w:val="single"/>
        </w:rPr>
        <w:t>（2）市政配套的批准与施工延误等非出卖人原因导致本项目不具备竣工交付条件、或因法律法规等对验收标准或交付条件的新规定导致开发建设期延长的，出卖人可据实予以延期。</w:t>
      </w:r>
    </w:p>
    <w:p w14:paraId="02E1B2A9">
      <w:pPr>
        <w:spacing w:line="300" w:lineRule="auto"/>
        <w:ind w:firstLine="480" w:firstLineChars="200"/>
      </w:pPr>
      <w:r>
        <w:rPr>
          <w:rFonts w:ascii="宋体" w:hAnsi="宋体" w:eastAsia="宋体" w:cs="宋体"/>
          <w:color w:val="000000"/>
          <w:sz w:val="24"/>
          <w:u w:val="single"/>
        </w:rPr>
        <w:t>2、本条约定的日期为最后交付日期，商品房在该日期之前达到合同约定的交付条件的，出卖人有权书面通知买受人交房，买受人应在出卖人寄发的《交付通知书》中规定的领房时间内前往办理领房手续，并从《交付通知书》规定的领房起始日之次日起交纳物业管理费等相关费用。</w:t>
      </w:r>
    </w:p>
    <w:p w14:paraId="1D7918A9">
      <w:pPr>
        <w:spacing w:line="300" w:lineRule="auto"/>
        <w:ind w:firstLine="480" w:firstLineChars="200"/>
      </w:pPr>
      <w:r>
        <w:rPr>
          <w:rFonts w:ascii="宋体" w:hAnsi="宋体" w:eastAsia="宋体" w:cs="宋体"/>
          <w:color w:val="000000"/>
          <w:sz w:val="24"/>
        </w:rPr>
        <w:t xml:space="preserve">交付该商品房时，出卖人应当出示满足第九条约定的证明文件。出卖人不出示证明文件或者出示的证明文件不齐全，不能满足第九条约定条件的，买受人有权拒绝接收，由此产生的逾期交付责任由出卖人承担，并按照第十二条处理。 </w:t>
      </w:r>
    </w:p>
    <w:p w14:paraId="0FF867F6">
      <w:pPr>
        <w:spacing w:line="300" w:lineRule="auto"/>
        <w:ind w:firstLine="480" w:firstLineChars="200"/>
      </w:pPr>
      <w:r>
        <w:rPr>
          <w:rFonts w:ascii="宋体" w:hAnsi="宋体" w:eastAsia="宋体" w:cs="宋体"/>
          <w:color w:val="000000"/>
          <w:sz w:val="24"/>
        </w:rPr>
        <w:t>（三）查验房屋</w:t>
      </w:r>
    </w:p>
    <w:p w14:paraId="247254DC">
      <w:pPr>
        <w:tabs>
          <w:tab w:val="left" w:pos="784"/>
        </w:tabs>
        <w:spacing w:line="300" w:lineRule="auto"/>
        <w:ind w:firstLine="480" w:firstLineChars="200"/>
      </w:pPr>
      <w:r>
        <w:rPr>
          <w:rFonts w:ascii="宋体" w:hAnsi="宋体" w:eastAsia="宋体" w:cs="宋体"/>
          <w:color w:val="000000"/>
          <w:sz w:val="24"/>
        </w:rPr>
        <w:t xml:space="preserve">1.办理交付手续前，买受人有权对该商品房进行查验，出卖人不得以缴纳相关税费或者签署物业管理文件作为买受人查验和办理交付手续的前提条件。 </w:t>
      </w:r>
    </w:p>
    <w:p w14:paraId="6A941B3F">
      <w:pPr>
        <w:tabs>
          <w:tab w:val="left" w:pos="787"/>
        </w:tabs>
        <w:spacing w:line="300" w:lineRule="auto"/>
        <w:ind w:firstLine="480" w:firstLineChars="200"/>
      </w:pPr>
      <w:r>
        <w:rPr>
          <w:rFonts w:ascii="宋体" w:hAnsi="宋体" w:eastAsia="宋体" w:cs="宋体"/>
          <w:color w:val="000000"/>
          <w:sz w:val="24"/>
        </w:rPr>
        <w:t>2.买受人查验的该商品房存在下列除地基基础和主体结构外的其他质量问题的，由出卖人按照有关工程和产品质量规范、标准自查验次日起</w:t>
      </w:r>
      <w:r>
        <w:rPr>
          <w:rFonts w:ascii="宋体" w:hAnsi="宋体" w:eastAsia="宋体" w:cs="宋体"/>
          <w:color w:val="000000"/>
          <w:sz w:val="24"/>
          <w:u w:val="single"/>
        </w:rPr>
        <w:t xml:space="preserve">  90  </w:t>
      </w:r>
      <w:r>
        <w:rPr>
          <w:rFonts w:ascii="宋体" w:hAnsi="宋体" w:eastAsia="宋体" w:cs="宋体"/>
          <w:color w:val="000000"/>
          <w:sz w:val="24"/>
        </w:rPr>
        <w:t xml:space="preserve">日内负责修复，并承担修复费用，修复后再行交付。 </w:t>
      </w:r>
    </w:p>
    <w:p w14:paraId="5AD57404">
      <w:pPr>
        <w:spacing w:line="300" w:lineRule="auto"/>
        <w:ind w:firstLine="480" w:firstLineChars="200"/>
      </w:pPr>
      <w:r>
        <w:rPr>
          <w:rFonts w:ascii="宋体" w:hAnsi="宋体" w:eastAsia="宋体" w:cs="宋体"/>
          <w:color w:val="000000"/>
          <w:sz w:val="24"/>
        </w:rPr>
        <w:t xml:space="preserve">（1）屋面、墙面、地面渗漏或开裂等； </w:t>
      </w:r>
    </w:p>
    <w:p w14:paraId="05BA1BD0">
      <w:pPr>
        <w:spacing w:line="300" w:lineRule="auto"/>
        <w:ind w:firstLine="480" w:firstLineChars="200"/>
      </w:pPr>
      <w:r>
        <w:rPr>
          <w:rFonts w:ascii="宋体" w:hAnsi="宋体" w:eastAsia="宋体" w:cs="宋体"/>
          <w:color w:val="000000"/>
          <w:sz w:val="24"/>
        </w:rPr>
        <w:t xml:space="preserve">（2）管道堵塞； </w:t>
      </w:r>
    </w:p>
    <w:p w14:paraId="136E309C">
      <w:pPr>
        <w:spacing w:line="300" w:lineRule="auto"/>
        <w:ind w:firstLine="480" w:firstLineChars="200"/>
      </w:pPr>
      <w:r>
        <w:rPr>
          <w:rFonts w:ascii="宋体" w:hAnsi="宋体" w:eastAsia="宋体" w:cs="宋体"/>
          <w:color w:val="000000"/>
          <w:sz w:val="24"/>
        </w:rPr>
        <w:t xml:space="preserve">（3）门窗翘裂、五金件损坏； </w:t>
      </w:r>
    </w:p>
    <w:p w14:paraId="07DD9573">
      <w:pPr>
        <w:spacing w:line="300" w:lineRule="auto"/>
        <w:ind w:firstLine="480" w:firstLineChars="200"/>
      </w:pPr>
      <w:r>
        <w:rPr>
          <w:rFonts w:ascii="宋体" w:hAnsi="宋体" w:eastAsia="宋体" w:cs="宋体"/>
          <w:color w:val="000000"/>
          <w:sz w:val="24"/>
        </w:rPr>
        <w:t xml:space="preserve">（4）灯具、电器等电气设备不能正常使用； </w:t>
      </w:r>
    </w:p>
    <w:p w14:paraId="08DD289A">
      <w:pPr>
        <w:spacing w:line="300" w:lineRule="auto"/>
        <w:ind w:firstLine="480" w:firstLineChars="200"/>
      </w:pPr>
      <w:r>
        <w:rPr>
          <w:rFonts w:ascii="宋体" w:hAnsi="宋体" w:eastAsia="宋体" w:cs="宋体"/>
          <w:color w:val="000000"/>
          <w:sz w:val="24"/>
        </w:rPr>
        <w:t>（5）</w:t>
      </w:r>
      <w:r>
        <w:rPr>
          <w:rFonts w:ascii="宋体" w:hAnsi="宋体" w:eastAsia="宋体" w:cs="宋体"/>
          <w:color w:val="000000"/>
          <w:sz w:val="24"/>
          <w:u w:val="single"/>
        </w:rPr>
        <w:t xml:space="preserve">本条约定的“修复后再行交付”仅指对买受人查验后所提出的质量问题进行修复后，对修复成果的验收，而不是对该商品房进行整体重新交付，质量问题不影响该商品房交付。                                  </w:t>
      </w:r>
    </w:p>
    <w:p w14:paraId="4882B219">
      <w:pPr>
        <w:spacing w:line="300" w:lineRule="auto"/>
        <w:ind w:firstLine="480" w:firstLineChars="200"/>
      </w:pPr>
      <w:r>
        <w:rPr>
          <w:rFonts w:ascii="宋体" w:hAnsi="宋体" w:eastAsia="宋体" w:cs="宋体"/>
          <w:color w:val="000000"/>
          <w:sz w:val="24"/>
        </w:rPr>
        <w:t>（6）</w:t>
      </w:r>
      <w:r>
        <w:rPr>
          <w:rFonts w:ascii="宋体" w:hAnsi="宋体" w:eastAsia="宋体" w:cs="宋体"/>
          <w:color w:val="000000"/>
          <w:sz w:val="24"/>
          <w:u w:val="single"/>
        </w:rPr>
        <w:t xml:space="preserve">           /                                   </w:t>
      </w:r>
    </w:p>
    <w:p w14:paraId="0D11C359">
      <w:pPr>
        <w:spacing w:line="300" w:lineRule="auto"/>
        <w:ind w:firstLine="480" w:firstLineChars="200"/>
      </w:pPr>
      <w:r>
        <w:rPr>
          <w:rFonts w:ascii="宋体" w:hAnsi="宋体" w:eastAsia="宋体" w:cs="宋体"/>
          <w:color w:val="000000"/>
          <w:sz w:val="24"/>
        </w:rPr>
        <w:t>3. 查验该商品房后，双方应当签署商品房交接单。由于买受人原因导致该商品房未能按期交付的，双方同意按照以下方式处理：</w:t>
      </w:r>
    </w:p>
    <w:p w14:paraId="113AABB4">
      <w:pPr>
        <w:spacing w:line="400" w:lineRule="exact"/>
        <w:ind w:firstLine="422" w:firstLineChars="200"/>
      </w:pPr>
      <w:r>
        <w:rPr>
          <w:rFonts w:ascii="宋体" w:hAnsi="宋体" w:eastAsia="宋体" w:cs="宋体"/>
          <w:b/>
          <w:color w:val="000000"/>
          <w:sz w:val="21"/>
          <w:u w:val="single"/>
        </w:rPr>
        <w:t>（1）买受人未在《交付通知书》中规定的交付期限届满日办理房屋验收交接手续的，则自《交付通知书》规定的领房起始日之次日（未书面通知时在本合同约定的交付日期届满之日）起视为房屋已交付，买受人所购房屋及其装饰设备的毁损、灭失的风险责任、前期物业管理费用、其他实际发生的费用等均由买受人承担，出卖人有权按照其前期物业管理的有关规定对该商品房进行管理。</w:t>
      </w:r>
    </w:p>
    <w:p w14:paraId="75B613F6">
      <w:pPr>
        <w:spacing w:line="400" w:lineRule="exact"/>
        <w:ind w:firstLine="422" w:firstLineChars="200"/>
      </w:pPr>
      <w:r>
        <w:rPr>
          <w:rFonts w:ascii="宋体" w:hAnsi="宋体" w:eastAsia="宋体" w:cs="宋体"/>
          <w:b/>
          <w:color w:val="000000"/>
          <w:sz w:val="21"/>
          <w:u w:val="single"/>
        </w:rPr>
        <w:t>（2）买受人购买的商品房，包括室内装饰设备等保修时间从《交付通知书》规定的交付起始日之次日（或未书面通知时在本合同约定的交付日期届满日之次日）开始计算。买受人应自该日起承担室内装饰设备等的保养维护工作及使用能耗费用。</w:t>
      </w:r>
    </w:p>
    <w:p w14:paraId="5EBBFD1E">
      <w:pPr>
        <w:spacing w:line="400" w:lineRule="exact"/>
        <w:ind w:firstLine="422" w:firstLineChars="200"/>
      </w:pPr>
      <w:r>
        <w:rPr>
          <w:rFonts w:ascii="宋体" w:hAnsi="宋体" w:eastAsia="宋体" w:cs="宋体"/>
          <w:b/>
          <w:color w:val="000000"/>
          <w:sz w:val="21"/>
          <w:u w:val="single"/>
        </w:rPr>
        <w:t>（3）买受人提出的地基基础和主体结构外的其他质量问题不影响商品房的交付，买受人应按《交付通知书》规定时间（未书面通知时在本合同约定的交付日期届满之日）及时办理房屋交接手续，出卖人应按约定时间予以修复。</w:t>
      </w:r>
    </w:p>
    <w:p w14:paraId="1E20A5F6">
      <w:pPr>
        <w:spacing w:line="400" w:lineRule="exact"/>
        <w:ind w:firstLine="422" w:firstLineChars="200"/>
      </w:pPr>
      <w:r>
        <w:rPr>
          <w:rFonts w:ascii="宋体" w:hAnsi="宋体" w:eastAsia="宋体" w:cs="宋体"/>
          <w:b/>
          <w:color w:val="000000"/>
          <w:sz w:val="21"/>
          <w:u w:val="single"/>
        </w:rPr>
        <w:t>（4）买卖双方进行交接时，出卖人明确告知买受人交付的商品房尚未达到本合同约定的交付条件，买受人仍愿意接收该商品房的，视为双方对房屋交付条件的变更。</w:t>
      </w:r>
    </w:p>
    <w:p w14:paraId="7916A292">
      <w:pPr>
        <w:spacing w:line="300" w:lineRule="auto"/>
        <w:ind w:firstLine="482" w:firstLineChars="200"/>
      </w:pPr>
      <w:r>
        <w:rPr>
          <w:rFonts w:ascii="宋体" w:hAnsi="宋体" w:eastAsia="宋体" w:cs="宋体"/>
          <w:b/>
          <w:color w:val="000000"/>
          <w:sz w:val="24"/>
        </w:rPr>
        <w:t>第十二条 逾期交付责任</w:t>
      </w:r>
    </w:p>
    <w:p w14:paraId="37722414">
      <w:pPr>
        <w:spacing w:line="300" w:lineRule="auto"/>
        <w:ind w:firstLine="480" w:firstLineChars="200"/>
      </w:pPr>
      <w:r>
        <w:rPr>
          <w:rFonts w:ascii="宋体" w:hAnsi="宋体" w:eastAsia="宋体" w:cs="宋体"/>
          <w:color w:val="000000"/>
          <w:sz w:val="24"/>
        </w:rPr>
        <w:t>除不可抗力外，出卖人未按照第十一条约定的时间将该商品房交付买受人的，双方同意按照下列第</w:t>
      </w:r>
      <w:r>
        <w:rPr>
          <w:rFonts w:ascii="宋体" w:hAnsi="宋体" w:eastAsia="宋体" w:cs="宋体"/>
          <w:color w:val="000000"/>
          <w:sz w:val="24"/>
          <w:u w:val="single"/>
        </w:rPr>
        <w:t xml:space="preserve">   1和2    </w:t>
      </w:r>
      <w:r>
        <w:rPr>
          <w:rFonts w:ascii="宋体" w:hAnsi="宋体" w:eastAsia="宋体" w:cs="宋体"/>
          <w:color w:val="000000"/>
          <w:sz w:val="24"/>
        </w:rPr>
        <w:t>种方式处理：</w:t>
      </w:r>
    </w:p>
    <w:p w14:paraId="1B81D8C6">
      <w:pPr>
        <w:spacing w:line="300" w:lineRule="auto"/>
        <w:ind w:firstLine="480" w:firstLineChars="200"/>
      </w:pPr>
      <w:r>
        <w:rPr>
          <w:rFonts w:ascii="Arial" w:hAnsi="Arial" w:cs="Arial"/>
          <w:color w:val="000000"/>
          <w:sz w:val="24"/>
        </w:rPr>
        <w:t>1.</w:t>
      </w:r>
      <w:r>
        <w:rPr>
          <w:rFonts w:ascii="宋体" w:hAnsi="宋体" w:eastAsia="宋体" w:cs="宋体"/>
          <w:color w:val="000000"/>
          <w:sz w:val="24"/>
        </w:rPr>
        <w:t>按照逾期时间，分别处理 （（1）和（2）不作累加 ） 。</w:t>
      </w:r>
    </w:p>
    <w:p w14:paraId="14B6B3A4">
      <w:pPr>
        <w:spacing w:line="300" w:lineRule="auto"/>
        <w:ind w:firstLine="480" w:firstLineChars="200"/>
      </w:pPr>
      <w:r>
        <w:rPr>
          <w:rFonts w:ascii="宋体" w:hAnsi="宋体" w:eastAsia="宋体" w:cs="宋体"/>
          <w:color w:val="000000"/>
          <w:sz w:val="24"/>
        </w:rPr>
        <w:t>（1）逾期在</w:t>
      </w:r>
      <w:r>
        <w:rPr>
          <w:rFonts w:ascii="宋体" w:hAnsi="宋体" w:eastAsia="宋体" w:cs="宋体"/>
          <w:color w:val="000000"/>
          <w:sz w:val="24"/>
          <w:u w:val="single"/>
        </w:rPr>
        <w:t xml:space="preserve">   90  </w:t>
      </w:r>
      <w:r>
        <w:rPr>
          <w:rFonts w:ascii="宋体" w:hAnsi="宋体" w:eastAsia="宋体" w:cs="宋体"/>
          <w:color w:val="000000"/>
          <w:sz w:val="24"/>
        </w:rPr>
        <w:t>日之内（该期限应当不多于第八条第1（1）项中的期限），自第十一条约定的交付期限届满之次日起至实际交付之日止，出卖人按日计算向买受人支付全部房价款万分之</w:t>
      </w:r>
      <w:r>
        <w:rPr>
          <w:rFonts w:ascii="宋体" w:hAnsi="宋体" w:eastAsia="宋体" w:cs="宋体"/>
          <w:color w:val="000000"/>
          <w:sz w:val="24"/>
          <w:u w:val="single"/>
        </w:rPr>
        <w:t xml:space="preserve">  一 </w:t>
      </w:r>
      <w:r>
        <w:rPr>
          <w:rFonts w:ascii="宋体" w:hAnsi="宋体" w:eastAsia="宋体" w:cs="宋体"/>
          <w:color w:val="000000"/>
          <w:sz w:val="24"/>
        </w:rPr>
        <w:t>的违约金（该违约金比率应当不低于第八条第1（1）项中的比率）。</w:t>
      </w:r>
    </w:p>
    <w:p w14:paraId="6990B914">
      <w:pPr>
        <w:spacing w:line="300" w:lineRule="auto"/>
        <w:ind w:firstLine="480" w:firstLineChars="200"/>
      </w:pPr>
      <w:r>
        <w:rPr>
          <w:rFonts w:ascii="宋体" w:hAnsi="宋体" w:eastAsia="宋体" w:cs="宋体"/>
          <w:color w:val="000000"/>
          <w:sz w:val="24"/>
        </w:rPr>
        <w:t>（2）逾期超过</w:t>
      </w:r>
      <w:r>
        <w:rPr>
          <w:rFonts w:ascii="宋体" w:hAnsi="宋体" w:eastAsia="宋体" w:cs="宋体"/>
          <w:color w:val="000000"/>
          <w:sz w:val="24"/>
          <w:u w:val="single"/>
        </w:rPr>
        <w:t xml:space="preserve">  90   </w:t>
      </w:r>
      <w:r>
        <w:rPr>
          <w:rFonts w:ascii="宋体" w:hAnsi="宋体" w:eastAsia="宋体" w:cs="宋体"/>
          <w:color w:val="000000"/>
          <w:sz w:val="24"/>
        </w:rPr>
        <w:t>日（该期限应当与本条第（1）项中的期限相同）后，买受人有权解除合同。买受人解除合同的，应当书面通知出卖人。出卖人应当自解除合同通知送达之日起15日内退还买受人已付全部房款（含已付贷款部分），并自买受人付款之日起，按照</w:t>
      </w:r>
      <w:r>
        <w:rPr>
          <w:rFonts w:ascii="宋体" w:hAnsi="宋体" w:eastAsia="宋体" w:cs="宋体"/>
          <w:color w:val="000000"/>
          <w:sz w:val="24"/>
          <w:u w:val="single"/>
        </w:rPr>
        <w:t xml:space="preserve">  全国银行间同业拆借中心发布的同期一年期贷款市场报价利率（LPR） </w:t>
      </w:r>
      <w:r>
        <w:rPr>
          <w:rFonts w:ascii="宋体" w:hAnsi="宋体" w:eastAsia="宋体" w:cs="宋体"/>
          <w:color w:val="000000"/>
          <w:sz w:val="24"/>
        </w:rPr>
        <w:t>%（不低于中国人民银行公布的同期贷款基准利率）计算给付利息；同时，出卖人按照全部房价款的</w:t>
      </w:r>
      <w:r>
        <w:rPr>
          <w:rFonts w:ascii="宋体" w:hAnsi="宋体" w:eastAsia="宋体" w:cs="宋体"/>
          <w:color w:val="000000"/>
          <w:sz w:val="24"/>
          <w:u w:val="single"/>
        </w:rPr>
        <w:t xml:space="preserve">  1  </w:t>
      </w:r>
      <w:r>
        <w:rPr>
          <w:rFonts w:ascii="宋体" w:hAnsi="宋体" w:eastAsia="宋体" w:cs="宋体"/>
          <w:color w:val="000000"/>
          <w:sz w:val="24"/>
        </w:rPr>
        <w:t>%向买受人支付违约金。</w:t>
      </w:r>
    </w:p>
    <w:p w14:paraId="2240406F">
      <w:pPr>
        <w:spacing w:line="300" w:lineRule="auto"/>
        <w:ind w:firstLine="480" w:firstLineChars="200"/>
      </w:pPr>
      <w:r>
        <w:rPr>
          <w:rFonts w:ascii="宋体" w:hAnsi="宋体" w:eastAsia="宋体" w:cs="宋体"/>
          <w:color w:val="000000"/>
          <w:sz w:val="24"/>
        </w:rPr>
        <w:t>买受人要求继续履行合同的，合同继续履行，出卖人按日计算向买受人支付全部房价款万分之</w:t>
      </w:r>
      <w:r>
        <w:rPr>
          <w:rFonts w:ascii="宋体" w:hAnsi="宋体" w:eastAsia="宋体" w:cs="宋体"/>
          <w:color w:val="000000"/>
          <w:sz w:val="24"/>
          <w:u w:val="single"/>
        </w:rPr>
        <w:t xml:space="preserve"> 一 </w:t>
      </w:r>
      <w:r>
        <w:rPr>
          <w:rFonts w:ascii="宋体" w:hAnsi="宋体" w:eastAsia="宋体" w:cs="宋体"/>
          <w:color w:val="000000"/>
          <w:sz w:val="24"/>
        </w:rPr>
        <w:t>（按比率应当不低于本条第1（1）项中的比率）的违约金。</w:t>
      </w:r>
    </w:p>
    <w:p w14:paraId="48DF4D0D">
      <w:pPr>
        <w:spacing w:line="300" w:lineRule="auto"/>
        <w:ind w:firstLine="480" w:firstLineChars="200"/>
      </w:pPr>
      <w:r>
        <w:rPr>
          <w:rFonts w:ascii="宋体" w:hAnsi="宋体" w:eastAsia="宋体" w:cs="宋体"/>
          <w:color w:val="000000"/>
          <w:sz w:val="24"/>
        </w:rPr>
        <w:t>2．</w:t>
      </w:r>
      <w:r>
        <w:rPr>
          <w:rFonts w:ascii="宋体" w:hAnsi="宋体" w:eastAsia="宋体" w:cs="宋体"/>
          <w:color w:val="000000"/>
          <w:sz w:val="24"/>
          <w:u w:val="single"/>
        </w:rPr>
        <w:t xml:space="preserve"> </w:t>
      </w:r>
      <w:r>
        <w:rPr>
          <w:rFonts w:ascii="宋体" w:hAnsi="宋体" w:eastAsia="宋体" w:cs="宋体"/>
          <w:b/>
          <w:color w:val="000000"/>
          <w:sz w:val="24"/>
          <w:u w:val="single"/>
        </w:rPr>
        <w:t>本合同及补充协议中有特别约定的按特别约定执行。如遇到本合同第十一条（二）项规定的情形，则出卖人不承担违约责任</w:t>
      </w:r>
      <w:r>
        <w:rPr>
          <w:rFonts w:ascii="宋体" w:hAnsi="宋体" w:eastAsia="宋体" w:cs="宋体"/>
          <w:b/>
          <w:color w:val="000000"/>
          <w:sz w:val="24"/>
        </w:rPr>
        <w:t>。</w:t>
      </w:r>
    </w:p>
    <w:p w14:paraId="2407B3BC">
      <w:pPr>
        <w:spacing w:line="300" w:lineRule="auto"/>
        <w:ind w:firstLine="560" w:firstLineChars="200"/>
      </w:pPr>
      <w:r>
        <w:rPr>
          <w:rFonts w:ascii="宋体" w:hAnsi="宋体" w:eastAsia="宋体" w:cs="宋体"/>
          <w:color w:val="000000"/>
          <w:sz w:val="28"/>
        </w:rPr>
        <w:t> </w:t>
      </w:r>
    </w:p>
    <w:p w14:paraId="068EE861">
      <w:pPr>
        <w:spacing w:line="300" w:lineRule="auto"/>
        <w:ind w:firstLine="562" w:firstLineChars="200"/>
        <w:jc w:val="center"/>
      </w:pPr>
      <w:r>
        <w:rPr>
          <w:rFonts w:ascii="宋体" w:hAnsi="宋体" w:eastAsia="宋体" w:cs="宋体"/>
          <w:b/>
          <w:color w:val="000000"/>
          <w:sz w:val="28"/>
        </w:rPr>
        <w:t>第五章 面积差异处理方式</w:t>
      </w:r>
    </w:p>
    <w:p w14:paraId="61DEDE1A">
      <w:pPr>
        <w:spacing w:line="300" w:lineRule="auto"/>
        <w:ind w:firstLine="482" w:firstLineChars="200"/>
      </w:pPr>
      <w:r>
        <w:rPr>
          <w:rFonts w:ascii="宋体" w:hAnsi="宋体" w:eastAsia="宋体" w:cs="宋体"/>
          <w:b/>
          <w:color w:val="000000"/>
          <w:sz w:val="24"/>
        </w:rPr>
        <w:t xml:space="preserve">第十三条 面积差异处理 </w:t>
      </w:r>
    </w:p>
    <w:p w14:paraId="1A1D518F">
      <w:pPr>
        <w:spacing w:line="300" w:lineRule="auto"/>
        <w:ind w:firstLine="480" w:firstLineChars="200"/>
      </w:pPr>
      <w:r>
        <w:rPr>
          <w:rFonts w:ascii="宋体" w:hAnsi="宋体" w:eastAsia="宋体" w:cs="宋体"/>
          <w:color w:val="000000"/>
          <w:sz w:val="24"/>
        </w:rPr>
        <w:t>该商品房交付时，出卖人应当向买受人出示房屋测绘报告，并向买受人提供该商品房的面积实测数据（以下简称实测面积）。实测面积与第三条载明的预测面积发生误差的，双方同意按照第</w:t>
      </w:r>
      <w:r>
        <w:rPr>
          <w:rFonts w:ascii="宋体" w:hAnsi="宋体" w:eastAsia="宋体" w:cs="宋体"/>
          <w:color w:val="000000"/>
          <w:sz w:val="24"/>
          <w:u w:val="single"/>
        </w:rPr>
        <w:t xml:space="preserve">   2    </w:t>
      </w:r>
      <w:r>
        <w:rPr>
          <w:rFonts w:ascii="宋体" w:hAnsi="宋体" w:eastAsia="宋体" w:cs="宋体"/>
          <w:color w:val="000000"/>
          <w:sz w:val="24"/>
        </w:rPr>
        <w:t>种方式处理。</w:t>
      </w:r>
    </w:p>
    <w:p w14:paraId="4C2774ED">
      <w:pPr>
        <w:spacing w:line="300" w:lineRule="auto"/>
        <w:ind w:firstLine="480" w:firstLineChars="200"/>
      </w:pPr>
      <w:r>
        <w:rPr>
          <w:rFonts w:ascii="宋体" w:hAnsi="宋体" w:eastAsia="宋体" w:cs="宋体"/>
          <w:color w:val="000000"/>
          <w:sz w:val="24"/>
        </w:rPr>
        <w:t xml:space="preserve">1. 根据第六条按照套内建筑面积计价的约定，双方同意按照下列原则处理： </w:t>
      </w:r>
    </w:p>
    <w:p w14:paraId="6D2F6BB3">
      <w:pPr>
        <w:spacing w:line="300" w:lineRule="auto"/>
        <w:ind w:firstLine="480" w:firstLineChars="200"/>
      </w:pPr>
      <w:r>
        <w:rPr>
          <w:rFonts w:ascii="宋体" w:hAnsi="宋体" w:eastAsia="宋体" w:cs="宋体"/>
          <w:color w:val="000000"/>
          <w:sz w:val="24"/>
        </w:rPr>
        <w:t xml:space="preserve">（1）套内建筑面积误差比绝对值在3%以内（含3%）的，据实结算房价款； </w:t>
      </w:r>
    </w:p>
    <w:p w14:paraId="5CE4E526">
      <w:pPr>
        <w:spacing w:line="300" w:lineRule="auto"/>
        <w:ind w:firstLine="480" w:firstLineChars="200"/>
      </w:pPr>
      <w:r>
        <w:rPr>
          <w:rFonts w:ascii="宋体" w:hAnsi="宋体" w:eastAsia="宋体" w:cs="宋体"/>
          <w:color w:val="000000"/>
          <w:sz w:val="24"/>
        </w:rPr>
        <w:t>（2）套内建筑面积误差比绝对值超出3%时，买受人有权解除合同。</w:t>
      </w:r>
    </w:p>
    <w:p w14:paraId="671217B9">
      <w:pPr>
        <w:spacing w:line="300" w:lineRule="auto"/>
        <w:ind w:firstLine="480" w:firstLineChars="200"/>
      </w:pPr>
      <w:r>
        <w:rPr>
          <w:rFonts w:ascii="宋体" w:hAnsi="宋体" w:eastAsia="宋体" w:cs="宋体"/>
          <w:color w:val="000000"/>
          <w:sz w:val="24"/>
        </w:rPr>
        <w:t>买受人解除合同的，应当书面通知出卖人。出卖人应当自解除合同通知送达之日起15日内退还买受人已付全部房款（含已付贷款部分），并自买受人付款之日起，按照</w:t>
      </w:r>
      <w:r>
        <w:rPr>
          <w:rFonts w:ascii="宋体" w:hAnsi="宋体" w:eastAsia="宋体" w:cs="宋体"/>
          <w:color w:val="000000"/>
          <w:sz w:val="24"/>
          <w:u w:val="single"/>
        </w:rPr>
        <w:t xml:space="preserve">    /   </w:t>
      </w:r>
      <w:r>
        <w:rPr>
          <w:rFonts w:ascii="宋体" w:hAnsi="宋体" w:eastAsia="宋体" w:cs="宋体"/>
          <w:color w:val="000000"/>
          <w:sz w:val="24"/>
        </w:rPr>
        <w:t>%（不低于中国人民银行公布的同期贷款基准利率）计算给付利息。</w:t>
      </w:r>
    </w:p>
    <w:p w14:paraId="123D9A04">
      <w:pPr>
        <w:spacing w:line="300" w:lineRule="auto"/>
        <w:ind w:firstLine="480" w:firstLineChars="200"/>
      </w:pPr>
      <w:r>
        <w:rPr>
          <w:rFonts w:ascii="宋体" w:hAnsi="宋体" w:eastAsia="宋体" w:cs="宋体"/>
          <w:color w:val="000000"/>
          <w:sz w:val="24"/>
        </w:rPr>
        <w:t>买受人选择不解除合同的，实测套内建筑面积大于预测套内建筑面积时，套内建筑面积误差比在3%以内（含3%）部分的房价款由买受人补足；超出3%部分的房价款由出卖人承担，产权归买受人所有。实测套内建筑面积小于预测套内建筑面积时，套内建筑面积误差比绝对值在3%以内（含3%）部分的房价款由出卖人返还买受人；绝对值超出3%部分的房价款由出卖人双倍返还买受人。</w:t>
      </w:r>
    </w:p>
    <w:p w14:paraId="2087DC81">
      <w:pPr>
        <w:spacing w:line="300" w:lineRule="auto"/>
        <w:ind w:firstLine="480" w:firstLineChars="200"/>
      </w:pPr>
      <w:r>
        <w:rPr>
          <w:rFonts w:ascii="宋体" w:hAnsi="宋体" w:eastAsia="宋体" w:cs="宋体"/>
          <w:color w:val="000000"/>
          <w:sz w:val="24"/>
        </w:rPr>
        <w:t>套内建筑面积误差比＝ （</w:t>
      </w:r>
      <w:r>
        <w:rPr>
          <w:rFonts w:ascii="宋体" w:hAnsi="宋体" w:eastAsia="宋体" w:cs="宋体"/>
          <w:color w:val="000000"/>
          <w:sz w:val="24"/>
          <w:u w:val="single"/>
        </w:rPr>
        <w:t>实测套内建筑面积－预测套内建筑面积</w:t>
      </w:r>
      <w:r>
        <w:rPr>
          <w:rFonts w:ascii="宋体" w:hAnsi="宋体" w:eastAsia="宋体" w:cs="宋体"/>
          <w:color w:val="000000"/>
          <w:sz w:val="24"/>
        </w:rPr>
        <w:t xml:space="preserve"> ）/预测套内建筑面积*100%</w:t>
      </w:r>
    </w:p>
    <w:p w14:paraId="65C31C6D">
      <w:pPr>
        <w:spacing w:line="300" w:lineRule="auto"/>
        <w:ind w:firstLine="480" w:firstLineChars="200"/>
      </w:pPr>
      <w:r>
        <w:rPr>
          <w:rFonts w:ascii="宋体" w:hAnsi="宋体" w:eastAsia="宋体" w:cs="宋体"/>
          <w:color w:val="000000"/>
          <w:sz w:val="24"/>
        </w:rPr>
        <w:t xml:space="preserve">2. 根据第六条按照建筑面积计价的约定，双方同意按照下列原则处理： </w:t>
      </w:r>
    </w:p>
    <w:p w14:paraId="671FA944">
      <w:pPr>
        <w:spacing w:line="300" w:lineRule="auto"/>
        <w:ind w:firstLine="480" w:firstLineChars="200"/>
      </w:pPr>
      <w:r>
        <w:rPr>
          <w:rFonts w:ascii="宋体" w:hAnsi="宋体" w:eastAsia="宋体" w:cs="宋体"/>
          <w:color w:val="000000"/>
          <w:sz w:val="24"/>
        </w:rPr>
        <w:t xml:space="preserve">（1）建筑面积、套内建筑面积误差比绝对值均在3%以内（含3%）的，根据实测建筑面积结算房价款； </w:t>
      </w:r>
    </w:p>
    <w:p w14:paraId="32216205">
      <w:pPr>
        <w:spacing w:line="300" w:lineRule="auto"/>
        <w:ind w:firstLine="480" w:firstLineChars="200"/>
      </w:pPr>
      <w:r>
        <w:rPr>
          <w:rFonts w:ascii="宋体" w:hAnsi="宋体" w:eastAsia="宋体" w:cs="宋体"/>
          <w:color w:val="000000"/>
          <w:sz w:val="24"/>
        </w:rPr>
        <w:t xml:space="preserve">（2）建筑面积、套内建筑面积误差比绝对值其中有一项超出3%时，买受人有权解除合同。 </w:t>
      </w:r>
    </w:p>
    <w:p w14:paraId="100742C5">
      <w:pPr>
        <w:spacing w:line="300" w:lineRule="auto"/>
        <w:ind w:firstLine="480" w:firstLineChars="200"/>
      </w:pPr>
      <w:r>
        <w:rPr>
          <w:rFonts w:ascii="宋体" w:hAnsi="宋体" w:eastAsia="宋体" w:cs="宋体"/>
          <w:color w:val="000000"/>
          <w:sz w:val="24"/>
        </w:rPr>
        <w:t>买受人解除合同的，应当书面通知出卖人。出卖人应当自解除合同通知送达之日起15日内退还买受人已付全部房款（含已付贷款部分），并自买受人付款之日起，按照</w:t>
      </w:r>
      <w:r>
        <w:rPr>
          <w:rFonts w:ascii="宋体" w:hAnsi="宋体" w:eastAsia="宋体" w:cs="宋体"/>
          <w:color w:val="000000"/>
          <w:sz w:val="24"/>
          <w:u w:val="single"/>
        </w:rPr>
        <w:t xml:space="preserve"> 全国银行间同业拆借中心发布的同期一年期贷款市场报价利率（LPR） </w:t>
      </w:r>
      <w:r>
        <w:rPr>
          <w:rFonts w:ascii="宋体" w:hAnsi="宋体" w:eastAsia="宋体" w:cs="宋体"/>
          <w:color w:val="000000"/>
          <w:sz w:val="24"/>
        </w:rPr>
        <w:t>%（不低于中国人民银行公布的同期贷款基准利率）计算给付利息。</w:t>
      </w:r>
    </w:p>
    <w:p w14:paraId="7CF50856">
      <w:pPr>
        <w:spacing w:line="300" w:lineRule="auto"/>
        <w:ind w:firstLine="480" w:firstLineChars="200"/>
      </w:pPr>
      <w:r>
        <w:rPr>
          <w:rFonts w:ascii="宋体" w:hAnsi="宋体" w:eastAsia="宋体" w:cs="宋体"/>
          <w:color w:val="000000"/>
          <w:sz w:val="24"/>
        </w:rPr>
        <w:t xml:space="preserve">买受人选择不解除合同的，实测建筑面积大于预测建筑面积时，建筑面积误差比在3%以内（含3%）部分的房价款由买受人补足，超出3%部分的房价款由出卖人承担，产权归买受人所有。实测建筑面积小于预测建筑面积时，建筑面积误差比绝对值3%以内（含3%）部分的房价款由出卖人返还买受人；绝对值超出3%部分的房价款 由出卖人双倍返还买受人。 </w:t>
      </w:r>
    </w:p>
    <w:p w14:paraId="70C747E3">
      <w:pPr>
        <w:spacing w:line="300" w:lineRule="auto"/>
        <w:ind w:firstLine="480" w:firstLineChars="200"/>
      </w:pPr>
      <w:r>
        <w:rPr>
          <w:rFonts w:ascii="宋体" w:hAnsi="宋体" w:eastAsia="宋体" w:cs="宋体"/>
          <w:color w:val="000000"/>
          <w:sz w:val="24"/>
        </w:rPr>
        <w:t>建筑面积误差比＝ （</w:t>
      </w:r>
      <w:r>
        <w:rPr>
          <w:rFonts w:ascii="宋体" w:hAnsi="宋体" w:eastAsia="宋体" w:cs="宋体"/>
          <w:color w:val="000000"/>
          <w:sz w:val="24"/>
          <w:u w:val="single"/>
        </w:rPr>
        <w:t>实测建筑面积－预测建筑面积</w:t>
      </w:r>
      <w:r>
        <w:rPr>
          <w:rFonts w:ascii="宋体" w:hAnsi="宋体" w:eastAsia="宋体" w:cs="宋体"/>
          <w:color w:val="000000"/>
          <w:sz w:val="24"/>
        </w:rPr>
        <w:t>） /预测建筑面积*100%</w:t>
      </w:r>
    </w:p>
    <w:p w14:paraId="2ACA6840">
      <w:pPr>
        <w:spacing w:line="300" w:lineRule="auto"/>
        <w:ind w:firstLine="480" w:firstLineChars="200"/>
      </w:pPr>
      <w:r>
        <w:rPr>
          <w:rFonts w:ascii="宋体" w:hAnsi="宋体" w:eastAsia="宋体" w:cs="宋体"/>
          <w:color w:val="000000"/>
          <w:sz w:val="24"/>
        </w:rPr>
        <w:t>（3）因设计变更造成面积差异，双方不解除合同的，应当签署补充协议。</w:t>
      </w:r>
    </w:p>
    <w:p w14:paraId="0C4F8CD4">
      <w:pPr>
        <w:spacing w:line="300" w:lineRule="auto"/>
        <w:ind w:firstLine="480" w:firstLineChars="200"/>
      </w:pPr>
      <w:r>
        <w:rPr>
          <w:rFonts w:ascii="宋体" w:hAnsi="宋体" w:eastAsia="宋体" w:cs="宋体"/>
          <w:color w:val="000000"/>
          <w:sz w:val="24"/>
        </w:rPr>
        <w:t>3. 根据第六条按照套计价的，出卖人承诺在房屋平面图中标明详细尺寸，并约定误差范围。该商品房交付时，套型与设计图纸不一致或者相关尺寸超出约定的误差范围，双方约定如下：</w:t>
      </w:r>
    </w:p>
    <w:p w14:paraId="43B1D5A0">
      <w:pPr>
        <w:spacing w:line="300" w:lineRule="auto"/>
        <w:ind w:firstLine="480" w:firstLineChars="200"/>
      </w:pPr>
      <w:r>
        <w:rPr>
          <w:rFonts w:ascii="宋体" w:hAnsi="宋体" w:eastAsia="宋体" w:cs="宋体"/>
          <w:color w:val="000000"/>
          <w:sz w:val="24"/>
          <w:u w:val="single"/>
        </w:rPr>
        <w:t xml:space="preserve">                 /                     </w:t>
      </w:r>
      <w:r>
        <w:rPr>
          <w:rFonts w:ascii="宋体" w:hAnsi="宋体" w:eastAsia="宋体" w:cs="宋体"/>
          <w:color w:val="000000"/>
          <w:sz w:val="24"/>
        </w:rPr>
        <w:t>。</w:t>
      </w:r>
    </w:p>
    <w:p w14:paraId="7B297E03">
      <w:pPr>
        <w:spacing w:line="300" w:lineRule="auto"/>
        <w:ind w:firstLine="480" w:firstLineChars="200"/>
      </w:pPr>
      <w:r>
        <w:rPr>
          <w:rFonts w:ascii="宋体" w:hAnsi="宋体" w:eastAsia="宋体" w:cs="宋体"/>
          <w:color w:val="000000"/>
          <w:sz w:val="24"/>
        </w:rPr>
        <w:t>4.双方自行约定：</w:t>
      </w:r>
    </w:p>
    <w:p w14:paraId="2BF9E298">
      <w:pPr>
        <w:spacing w:line="300" w:lineRule="auto"/>
        <w:ind w:firstLine="480" w:firstLineChars="200"/>
      </w:pPr>
      <w:r>
        <w:rPr>
          <w:rFonts w:ascii="宋体" w:hAnsi="宋体" w:eastAsia="宋体" w:cs="宋体"/>
          <w:color w:val="000000"/>
          <w:sz w:val="24"/>
          <w:u w:val="single"/>
        </w:rPr>
        <w:t xml:space="preserve"> </w:t>
      </w:r>
      <w:r>
        <w:rPr>
          <w:rFonts w:ascii="宋体" w:hAnsi="宋体" w:eastAsia="宋体" w:cs="宋体"/>
          <w:b/>
          <w:color w:val="000000"/>
          <w:sz w:val="21"/>
          <w:u w:val="single"/>
        </w:rPr>
        <w:t>/</w:t>
      </w:r>
    </w:p>
    <w:p w14:paraId="045DF1AD">
      <w:pPr>
        <w:spacing w:line="300" w:lineRule="auto"/>
        <w:ind w:firstLine="562" w:firstLineChars="200"/>
        <w:jc w:val="center"/>
      </w:pPr>
      <w:r>
        <w:rPr>
          <w:rFonts w:ascii="宋体" w:hAnsi="宋体" w:eastAsia="宋体" w:cs="宋体"/>
          <w:b/>
          <w:color w:val="000000"/>
          <w:sz w:val="28"/>
        </w:rPr>
        <w:t>第六章 规划设计变更</w:t>
      </w:r>
    </w:p>
    <w:p w14:paraId="6FAB2FA8">
      <w:pPr>
        <w:spacing w:line="300" w:lineRule="auto"/>
        <w:ind w:firstLine="482" w:firstLineChars="200"/>
        <w:jc w:val="left"/>
      </w:pPr>
      <w:r>
        <w:rPr>
          <w:rFonts w:ascii="宋体" w:hAnsi="宋体" w:eastAsia="宋体" w:cs="宋体"/>
          <w:b/>
          <w:color w:val="000000"/>
          <w:sz w:val="24"/>
        </w:rPr>
        <w:t>第十四条 规划变更</w:t>
      </w:r>
    </w:p>
    <w:p w14:paraId="0E0DD7F2">
      <w:pPr>
        <w:spacing w:line="300" w:lineRule="auto"/>
        <w:ind w:firstLine="480" w:firstLineChars="200"/>
      </w:pPr>
      <w:r>
        <w:rPr>
          <w:rFonts w:ascii="宋体" w:hAnsi="宋体" w:eastAsia="宋体" w:cs="宋体"/>
          <w:color w:val="000000"/>
          <w:sz w:val="24"/>
        </w:rPr>
        <w:t>（一）出卖人应当按照城乡规划主管部门核发的建设工程规划许可证规定的条件建设商品房，不得擅自变更。</w:t>
      </w:r>
    </w:p>
    <w:p w14:paraId="634F486E">
      <w:pPr>
        <w:spacing w:line="300" w:lineRule="auto"/>
        <w:ind w:firstLine="480" w:firstLineChars="200"/>
      </w:pPr>
      <w:r>
        <w:rPr>
          <w:rFonts w:ascii="宋体" w:hAnsi="宋体" w:eastAsia="宋体" w:cs="宋体"/>
          <w:color w:val="000000"/>
          <w:sz w:val="24"/>
        </w:rPr>
        <w:t>双方签订合同后，涉及该商品房规划用途、面积、容积率、绿地率、基础设施、公共服务及其他配套设施等规划许可内容经城乡规划主管部门批准变更的，出卖人应当在变更确立之日起10日内将书面通知送达买受人。出卖人未在规定期限内通知买受人的，买受人有权解除合同。</w:t>
      </w:r>
    </w:p>
    <w:p w14:paraId="06490503">
      <w:pPr>
        <w:spacing w:line="300" w:lineRule="auto"/>
        <w:ind w:firstLine="480" w:firstLineChars="200"/>
      </w:pPr>
      <w:r>
        <w:rPr>
          <w:rFonts w:ascii="宋体" w:hAnsi="宋体" w:eastAsia="宋体" w:cs="宋体"/>
          <w:color w:val="000000"/>
          <w:sz w:val="24"/>
        </w:rPr>
        <w:t>（二）买受人应当在通知送达之日起15日内做出是否解除合同的书面答复。买受人逾期未予以书面答复的，视同接受变更。</w:t>
      </w:r>
    </w:p>
    <w:p w14:paraId="55C92957">
      <w:pPr>
        <w:spacing w:line="300" w:lineRule="auto"/>
        <w:ind w:firstLine="480" w:firstLineChars="200"/>
      </w:pPr>
      <w:r>
        <w:rPr>
          <w:rFonts w:ascii="宋体" w:hAnsi="宋体" w:eastAsia="宋体" w:cs="宋体"/>
          <w:color w:val="000000"/>
          <w:sz w:val="24"/>
        </w:rPr>
        <w:t>（三）买受人解除合同的，应当书面通知出卖人。出卖人应当自解除合同通知送达之日起15日内退还买受人已付全部房款（含已付贷款部分），并自买受人付款之日起，按照</w:t>
      </w:r>
      <w:r>
        <w:rPr>
          <w:rFonts w:ascii="宋体" w:hAnsi="宋体" w:eastAsia="宋体" w:cs="宋体"/>
          <w:color w:val="000000"/>
          <w:sz w:val="24"/>
          <w:u w:val="single"/>
        </w:rPr>
        <w:t xml:space="preserve"> 全国银行间同业拆借中心发布的同期一年期贷款市场报价利率（LPR） </w:t>
      </w:r>
      <w:r>
        <w:rPr>
          <w:rFonts w:ascii="宋体" w:hAnsi="宋体" w:eastAsia="宋体" w:cs="宋体"/>
          <w:color w:val="000000"/>
          <w:sz w:val="24"/>
        </w:rPr>
        <w:t>%（不低于中国人民银行公布的同期贷款基准利率）计算给付利息；同时，出卖人按照全部房价款的</w:t>
      </w:r>
      <w:r>
        <w:rPr>
          <w:rFonts w:ascii="宋体" w:hAnsi="宋体" w:eastAsia="宋体" w:cs="宋体"/>
          <w:b/>
          <w:color w:val="000000"/>
          <w:spacing w:val="-1"/>
          <w:sz w:val="24"/>
          <w:u w:val="single"/>
        </w:rPr>
        <w:t xml:space="preserve">1 </w:t>
      </w:r>
      <w:r>
        <w:rPr>
          <w:rFonts w:ascii="宋体" w:hAnsi="宋体" w:eastAsia="宋体" w:cs="宋体"/>
          <w:color w:val="000000"/>
          <w:sz w:val="24"/>
        </w:rPr>
        <w:t>%向买受人支付违约金。</w:t>
      </w:r>
    </w:p>
    <w:p w14:paraId="058DCE0C">
      <w:pPr>
        <w:spacing w:line="300" w:lineRule="auto"/>
        <w:ind w:firstLine="480" w:firstLineChars="200"/>
      </w:pPr>
      <w:r>
        <w:rPr>
          <w:rFonts w:ascii="宋体" w:hAnsi="宋体" w:eastAsia="宋体" w:cs="宋体"/>
          <w:color w:val="000000"/>
          <w:sz w:val="24"/>
        </w:rPr>
        <w:t>买受人不解除合同的，有权要求出卖人赔偿由此造成的损失，双方约定如下：</w:t>
      </w:r>
    </w:p>
    <w:p w14:paraId="3436D7CC">
      <w:pPr>
        <w:spacing w:line="300" w:lineRule="auto"/>
        <w:ind w:firstLine="478" w:firstLineChars="200"/>
      </w:pPr>
      <w:r>
        <w:rPr>
          <w:rFonts w:ascii="宋体" w:hAnsi="宋体" w:eastAsia="宋体" w:cs="宋体"/>
          <w:b/>
          <w:color w:val="000000"/>
          <w:spacing w:val="-1"/>
          <w:sz w:val="24"/>
          <w:u w:val="single"/>
        </w:rPr>
        <w:t>视同买受人接受变更，出卖人赔偿买受人直接损失，除此之外，出卖人不承担其他违约或赔偿责任。</w:t>
      </w:r>
    </w:p>
    <w:p w14:paraId="1FB29157">
      <w:pPr>
        <w:spacing w:line="300" w:lineRule="auto"/>
        <w:ind w:firstLine="482" w:firstLineChars="200"/>
        <w:jc w:val="left"/>
      </w:pPr>
      <w:r>
        <w:rPr>
          <w:rFonts w:ascii="宋体" w:hAnsi="宋体" w:eastAsia="宋体" w:cs="宋体"/>
          <w:b/>
          <w:color w:val="000000"/>
          <w:sz w:val="24"/>
        </w:rPr>
        <w:t>第十五条 设计变更</w:t>
      </w:r>
    </w:p>
    <w:p w14:paraId="54C6FDE4">
      <w:pPr>
        <w:spacing w:line="300" w:lineRule="auto"/>
        <w:ind w:firstLine="480" w:firstLineChars="200"/>
      </w:pPr>
      <w:r>
        <w:rPr>
          <w:rFonts w:ascii="宋体" w:hAnsi="宋体" w:eastAsia="宋体" w:cs="宋体"/>
          <w:color w:val="000000"/>
          <w:sz w:val="24"/>
        </w:rPr>
        <w:t>（一）双方签订合同后，出卖人按照法定程序变更建筑工程施工图设计文件，涉及下列可能影响买受人所购商品房质量或使用功能情形的，出卖人应当在变更确立之日 起10日内将书面通知送达买受人。出卖人未在规定期限内通知买受人的，买受人有权解除合同。</w:t>
      </w:r>
    </w:p>
    <w:p w14:paraId="6ACA8F82">
      <w:pPr>
        <w:tabs>
          <w:tab w:val="left" w:pos="780"/>
        </w:tabs>
        <w:spacing w:line="300" w:lineRule="auto"/>
        <w:ind w:firstLine="480" w:firstLineChars="200"/>
        <w:rPr>
          <w:highlight w:val="none"/>
        </w:rPr>
      </w:pPr>
      <w:r>
        <w:rPr>
          <w:rFonts w:ascii="宋体" w:hAnsi="宋体" w:eastAsia="宋体" w:cs="宋体"/>
          <w:color w:val="000000"/>
          <w:sz w:val="24"/>
          <w:highlight w:val="none"/>
        </w:rPr>
        <w:t xml:space="preserve">1.该商品房结构形式、户型、空间尺寸、朝向； </w:t>
      </w:r>
    </w:p>
    <w:p w14:paraId="468697F5">
      <w:pPr>
        <w:tabs>
          <w:tab w:val="left" w:pos="780"/>
        </w:tabs>
        <w:spacing w:line="300" w:lineRule="auto"/>
        <w:ind w:firstLine="480" w:firstLineChars="200"/>
        <w:rPr>
          <w:highlight w:val="none"/>
        </w:rPr>
      </w:pPr>
      <w:r>
        <w:rPr>
          <w:rFonts w:ascii="宋体" w:hAnsi="宋体" w:eastAsia="宋体" w:cs="宋体"/>
          <w:color w:val="000000"/>
          <w:sz w:val="24"/>
          <w:highlight w:val="none"/>
        </w:rPr>
        <w:t>2.供热、采暖方式；</w:t>
      </w:r>
    </w:p>
    <w:p w14:paraId="11D0FD38">
      <w:pPr>
        <w:tabs>
          <w:tab w:val="left" w:pos="780"/>
        </w:tabs>
        <w:spacing w:line="300" w:lineRule="auto"/>
        <w:ind w:firstLine="480" w:firstLineChars="200"/>
        <w:rPr>
          <w:highlight w:val="none"/>
        </w:rPr>
      </w:pPr>
      <w:r>
        <w:rPr>
          <w:rFonts w:ascii="宋体" w:hAnsi="宋体" w:eastAsia="宋体" w:cs="宋体"/>
          <w:color w:val="000000"/>
          <w:sz w:val="24"/>
          <w:highlight w:val="none"/>
          <w:u w:val="single"/>
        </w:rPr>
        <w:t xml:space="preserve">3.上述第2点供热、采暖方式在本项目中不适用；                                               </w:t>
      </w:r>
    </w:p>
    <w:p w14:paraId="0EF98523">
      <w:pPr>
        <w:tabs>
          <w:tab w:val="left" w:pos="780"/>
        </w:tabs>
        <w:spacing w:line="300" w:lineRule="auto"/>
        <w:ind w:firstLine="480" w:firstLineChars="200"/>
        <w:rPr>
          <w:highlight w:val="none"/>
        </w:rPr>
      </w:pPr>
      <w:r>
        <w:rPr>
          <w:rFonts w:ascii="宋体" w:hAnsi="宋体" w:eastAsia="宋体" w:cs="宋体"/>
          <w:color w:val="000000"/>
          <w:sz w:val="24"/>
          <w:highlight w:val="none"/>
          <w:u w:val="single"/>
        </w:rPr>
        <w:t xml:space="preserve">4.如设计变更不影响买受人所购商品房质量或使用功能的，不受上述约定限制，出卖人无需另行通知,买受人无权解除合同。                                                    </w:t>
      </w:r>
    </w:p>
    <w:p w14:paraId="6462B9A3">
      <w:pPr>
        <w:tabs>
          <w:tab w:val="left" w:pos="780"/>
        </w:tabs>
        <w:spacing w:line="300" w:lineRule="auto"/>
        <w:ind w:firstLine="480" w:firstLineChars="200"/>
        <w:rPr>
          <w:highlight w:val="none"/>
        </w:rPr>
      </w:pPr>
      <w:r>
        <w:rPr>
          <w:rFonts w:ascii="宋体" w:hAnsi="宋体" w:eastAsia="宋体" w:cs="宋体"/>
          <w:color w:val="000000"/>
          <w:sz w:val="24"/>
          <w:highlight w:val="none"/>
          <w:u w:val="single"/>
        </w:rPr>
        <w:t xml:space="preserve">5.               /                                                      </w:t>
      </w:r>
    </w:p>
    <w:p w14:paraId="6857C00A">
      <w:pPr>
        <w:spacing w:line="300" w:lineRule="auto"/>
        <w:ind w:firstLine="480" w:firstLineChars="200"/>
      </w:pPr>
      <w:r>
        <w:rPr>
          <w:rFonts w:ascii="宋体" w:hAnsi="宋体" w:eastAsia="宋体" w:cs="宋体"/>
          <w:color w:val="000000"/>
          <w:sz w:val="24"/>
        </w:rPr>
        <w:t>（二）买受人应当在通知送达之日起15日内做出是否解除合同的书面答复。买受人逾期未予以书面答复的，视同接受变更。</w:t>
      </w:r>
    </w:p>
    <w:p w14:paraId="0F8DCE09">
      <w:pPr>
        <w:spacing w:line="300" w:lineRule="auto"/>
        <w:ind w:firstLine="480" w:firstLineChars="200"/>
      </w:pPr>
      <w:r>
        <w:rPr>
          <w:rFonts w:ascii="宋体" w:hAnsi="宋体" w:eastAsia="宋体" w:cs="宋体"/>
          <w:color w:val="000000"/>
          <w:sz w:val="24"/>
        </w:rPr>
        <w:t>（三）买受人解除合同的，应当书面通知出卖人。出卖人应当自解除合同通知送达之日起15日内退还买受人已付全部房款（含已付贷款部分），并自买受人付款之日起， 按照</w:t>
      </w:r>
      <w:r>
        <w:rPr>
          <w:rFonts w:ascii="宋体" w:hAnsi="宋体" w:eastAsia="宋体" w:cs="宋体"/>
          <w:color w:val="000000"/>
          <w:sz w:val="24"/>
          <w:u w:val="single"/>
        </w:rPr>
        <w:t xml:space="preserve"> 全国银行间同业拆借中心发布的同期一年期贷款市场报价利率（LPR）  </w:t>
      </w:r>
      <w:r>
        <w:rPr>
          <w:rFonts w:ascii="宋体" w:hAnsi="宋体" w:eastAsia="宋体" w:cs="宋体"/>
          <w:color w:val="000000"/>
          <w:sz w:val="24"/>
        </w:rPr>
        <w:t>% （不低于中国人民银行公布的同期贷款基准利率）计算给付利息；同时，出卖人按照全部房价款的</w:t>
      </w:r>
      <w:r>
        <w:rPr>
          <w:rFonts w:ascii="宋体" w:hAnsi="宋体" w:eastAsia="宋体" w:cs="宋体"/>
          <w:color w:val="000000"/>
          <w:sz w:val="24"/>
          <w:u w:val="single"/>
        </w:rPr>
        <w:t xml:space="preserve">  0.01  </w:t>
      </w:r>
      <w:r>
        <w:rPr>
          <w:rFonts w:ascii="宋体" w:hAnsi="宋体" w:eastAsia="宋体" w:cs="宋体"/>
          <w:color w:val="000000"/>
          <w:sz w:val="24"/>
        </w:rPr>
        <w:t>%向买受人支付违约金。</w:t>
      </w:r>
    </w:p>
    <w:p w14:paraId="482A42FE">
      <w:pPr>
        <w:spacing w:line="300" w:lineRule="auto"/>
        <w:ind w:firstLine="480" w:firstLineChars="200"/>
      </w:pPr>
      <w:r>
        <w:rPr>
          <w:rFonts w:ascii="宋体" w:hAnsi="宋体" w:eastAsia="宋体" w:cs="宋体"/>
          <w:color w:val="000000"/>
          <w:sz w:val="24"/>
        </w:rPr>
        <w:t>买受人不解除合同的，有权要求出卖人赔偿由此造成的损失，双方约定如下：</w:t>
      </w:r>
    </w:p>
    <w:p w14:paraId="23E67009">
      <w:pPr>
        <w:spacing w:line="300" w:lineRule="auto"/>
        <w:ind w:firstLine="478" w:firstLineChars="200"/>
      </w:pPr>
      <w:r>
        <w:rPr>
          <w:rFonts w:ascii="宋体" w:hAnsi="宋体" w:eastAsia="宋体" w:cs="宋体"/>
          <w:b/>
          <w:color w:val="000000"/>
          <w:spacing w:val="-1"/>
          <w:sz w:val="24"/>
          <w:u w:val="single"/>
        </w:rPr>
        <w:t>视同买受人接受变更，出卖人赔偿买受人直接损失，除此之外，出卖人不承担其他违约或赔偿责任。</w:t>
      </w:r>
    </w:p>
    <w:p w14:paraId="4D06D744">
      <w:pPr>
        <w:spacing w:line="300" w:lineRule="auto"/>
        <w:ind w:firstLine="562" w:firstLineChars="200"/>
        <w:jc w:val="center"/>
      </w:pPr>
      <w:r>
        <w:rPr>
          <w:rFonts w:ascii="宋体" w:hAnsi="宋体" w:eastAsia="宋体" w:cs="宋体"/>
          <w:b/>
          <w:color w:val="000000"/>
          <w:sz w:val="28"/>
        </w:rPr>
        <w:t>第七章 商品房质量及保修责任</w:t>
      </w:r>
    </w:p>
    <w:p w14:paraId="666EE14D">
      <w:pPr>
        <w:spacing w:line="300" w:lineRule="auto"/>
        <w:ind w:firstLine="482" w:firstLineChars="200"/>
      </w:pPr>
      <w:r>
        <w:rPr>
          <w:rFonts w:ascii="宋体" w:hAnsi="宋体" w:eastAsia="宋体" w:cs="宋体"/>
          <w:b/>
          <w:color w:val="000000"/>
          <w:sz w:val="24"/>
        </w:rPr>
        <w:t xml:space="preserve">第十六条 商品房质量 </w:t>
      </w:r>
    </w:p>
    <w:p w14:paraId="22A29124">
      <w:pPr>
        <w:spacing w:line="300" w:lineRule="auto"/>
        <w:ind w:firstLine="480" w:firstLineChars="200"/>
      </w:pPr>
      <w:r>
        <w:rPr>
          <w:rFonts w:ascii="宋体" w:hAnsi="宋体" w:eastAsia="宋体" w:cs="宋体"/>
          <w:color w:val="000000"/>
          <w:sz w:val="24"/>
        </w:rPr>
        <w:t>（一）地基基础和主体结构</w:t>
      </w:r>
    </w:p>
    <w:p w14:paraId="2B432D54">
      <w:pPr>
        <w:spacing w:line="300" w:lineRule="auto"/>
        <w:ind w:firstLine="480" w:firstLineChars="200"/>
      </w:pPr>
      <w:r>
        <w:rPr>
          <w:rFonts w:ascii="宋体" w:hAnsi="宋体" w:eastAsia="宋体" w:cs="宋体"/>
          <w:color w:val="000000"/>
          <w:sz w:val="24"/>
        </w:rPr>
        <w:t xml:space="preserve">出卖人承诺该商品房地基基础和主体结构合格，并符合国家及行业标准。 </w:t>
      </w:r>
    </w:p>
    <w:p w14:paraId="6A2585A0">
      <w:pPr>
        <w:spacing w:line="300" w:lineRule="auto"/>
        <w:ind w:firstLine="480" w:firstLineChars="200"/>
      </w:pPr>
      <w:r>
        <w:rPr>
          <w:rFonts w:ascii="宋体" w:hAnsi="宋体" w:eastAsia="宋体" w:cs="宋体"/>
          <w:color w:val="000000"/>
          <w:sz w:val="24"/>
        </w:rPr>
        <w:t>经检测不合格的，买受人有权解除合同。买受人解除合同的，应当书面通知出卖人。出卖人应当自解除合同通知送达之日起15日内退还买受人已付全部房款（含已付贷款部分），并自买受人付款之日起，按照</w:t>
      </w:r>
      <w:r>
        <w:rPr>
          <w:rFonts w:ascii="宋体" w:hAnsi="宋体" w:eastAsia="宋体" w:cs="宋体"/>
          <w:color w:val="000000"/>
          <w:sz w:val="24"/>
          <w:u w:val="single"/>
        </w:rPr>
        <w:t xml:space="preserve">   全国银行间同业拆借中心发布的同期一年期贷款市场报价利率（LPR）   </w:t>
      </w:r>
      <w:r>
        <w:rPr>
          <w:rFonts w:ascii="宋体" w:hAnsi="宋体" w:eastAsia="宋体" w:cs="宋体"/>
          <w:color w:val="000000"/>
          <w:sz w:val="24"/>
        </w:rPr>
        <w:t>%（不低于中国人民银行公布的同期贷款基准利率）计算给付利息。给买受人造成损失的，由出卖人支付【买受人全部损失】的赔偿金。因此而发生的检测费用由出卖人承担。</w:t>
      </w:r>
    </w:p>
    <w:p w14:paraId="0D2DEE59">
      <w:pPr>
        <w:spacing w:line="400" w:lineRule="exact"/>
        <w:ind w:firstLine="480" w:firstLineChars="200"/>
      </w:pPr>
      <w:r>
        <w:rPr>
          <w:rFonts w:ascii="宋体" w:hAnsi="宋体" w:eastAsia="宋体" w:cs="宋体"/>
          <w:color w:val="000000"/>
          <w:sz w:val="24"/>
        </w:rPr>
        <w:t>买受人不解除合同的，</w:t>
      </w:r>
      <w:r>
        <w:rPr>
          <w:rFonts w:ascii="宋体" w:hAnsi="宋体" w:eastAsia="宋体" w:cs="宋体"/>
          <w:b/>
          <w:color w:val="000000"/>
          <w:sz w:val="24"/>
          <w:u w:val="single"/>
        </w:rPr>
        <w:t>出卖人负责修复至合格，相关费用由出卖人承担，修复期内出卖人按买受人已付总房款日万分之零点五承担违约金。</w:t>
      </w:r>
    </w:p>
    <w:p w14:paraId="342A3CC6">
      <w:pPr>
        <w:spacing w:line="300" w:lineRule="auto"/>
        <w:ind w:firstLine="480" w:firstLineChars="200"/>
      </w:pPr>
      <w:r>
        <w:rPr>
          <w:rFonts w:ascii="宋体" w:hAnsi="宋体" w:eastAsia="宋体" w:cs="宋体"/>
          <w:color w:val="000000"/>
          <w:sz w:val="24"/>
        </w:rPr>
        <w:t xml:space="preserve">（二）其他质量问题 </w:t>
      </w:r>
    </w:p>
    <w:p w14:paraId="72D1DA0E">
      <w:pPr>
        <w:spacing w:line="300" w:lineRule="auto"/>
        <w:ind w:firstLine="480" w:firstLineChars="200"/>
      </w:pPr>
      <w:r>
        <w:rPr>
          <w:rFonts w:ascii="宋体" w:hAnsi="宋体" w:eastAsia="宋体" w:cs="宋体"/>
          <w:color w:val="000000"/>
          <w:sz w:val="24"/>
        </w:rPr>
        <w:t xml:space="preserve">该商品房质量应当符合有关工程质量规范、标准和施工图设计文件的要求。发现除地基基础和主体结构外质量问题的，双方按照以下方式处理： </w:t>
      </w:r>
    </w:p>
    <w:p w14:paraId="335C8B11">
      <w:pPr>
        <w:tabs>
          <w:tab w:val="right" w:pos="8148"/>
        </w:tabs>
        <w:spacing w:line="300" w:lineRule="auto"/>
        <w:ind w:firstLine="480" w:firstLineChars="200"/>
      </w:pPr>
      <w:r>
        <w:rPr>
          <w:rFonts w:ascii="宋体" w:hAnsi="宋体" w:eastAsia="宋体" w:cs="宋体"/>
          <w:color w:val="000000"/>
          <w:sz w:val="24"/>
        </w:rPr>
        <w:t>（1）及时更换、修理；如给买受人造成损失的，还应当承担相应赔偿任。</w:t>
      </w:r>
    </w:p>
    <w:p w14:paraId="7C0C9392">
      <w:pPr>
        <w:tabs>
          <w:tab w:val="left" w:pos="9060"/>
        </w:tabs>
        <w:spacing w:line="400" w:lineRule="exact"/>
        <w:ind w:firstLine="482" w:firstLineChars="200"/>
      </w:pPr>
      <w:r>
        <w:rPr>
          <w:rFonts w:ascii="宋体" w:hAnsi="宋体" w:eastAsia="宋体" w:cs="宋体"/>
          <w:b/>
          <w:color w:val="000000"/>
          <w:sz w:val="24"/>
          <w:u w:val="single"/>
        </w:rPr>
        <w:t>出卖人不构成逾期交付，但应在买受人报修后【  90  】日内更换、修理完成，修复期内出卖人不承担除超过期间应结合未修复部分对买受人的正常居住使用影响赔偿买受人直接损失。</w:t>
      </w:r>
      <w:r>
        <w:rPr>
          <w:rFonts w:ascii="宋体" w:hAnsi="宋体" w:eastAsia="宋体" w:cs="宋体"/>
          <w:b/>
          <w:color w:val="000000"/>
          <w:sz w:val="24"/>
        </w:rPr>
        <w:t>出卖人超过【90】日仍未完成更换、修理的，超过期间应结合未修复部分对买受人的正常居住使用影响赔偿买受人直接损失。</w:t>
      </w:r>
    </w:p>
    <w:p w14:paraId="5CA05C98">
      <w:pPr>
        <w:spacing w:line="300" w:lineRule="auto"/>
        <w:ind w:firstLine="480" w:firstLineChars="200"/>
      </w:pPr>
      <w:r>
        <w:rPr>
          <w:rFonts w:ascii="宋体" w:hAnsi="宋体" w:eastAsia="宋体" w:cs="宋体"/>
          <w:color w:val="000000"/>
          <w:sz w:val="24"/>
        </w:rPr>
        <w:t>（2）经过更换、修理，仍然严重影响正常使用的，买受人有权解除合同。买受人解除合同的，应当书面通知出卖人。出卖人应当自解除合同通知送达之日起15日内退还买受人已付全部房款（含已付贷款部分），并自买受人付款之日起，按照</w:t>
      </w:r>
      <w:r>
        <w:rPr>
          <w:rFonts w:ascii="宋体" w:hAnsi="宋体" w:eastAsia="宋体" w:cs="宋体"/>
          <w:color w:val="000000"/>
          <w:sz w:val="24"/>
          <w:u w:val="single"/>
        </w:rPr>
        <w:t xml:space="preserve">  全国银行间同业拆借中心发布的同期一年期贷款市场报价利率（LPR）   </w:t>
      </w:r>
      <w:r>
        <w:rPr>
          <w:rFonts w:ascii="宋体" w:hAnsi="宋体" w:eastAsia="宋体" w:cs="宋体"/>
          <w:color w:val="000000"/>
          <w:sz w:val="24"/>
        </w:rPr>
        <w:t>%（不低于中国人民银行公布的同期贷款基准利率）计算给付利息。给买受人造成损失的，由出卖人承担相应赔偿责任。因此而发生的检测费用由出卖人承担。</w:t>
      </w:r>
    </w:p>
    <w:p w14:paraId="64B599D1">
      <w:pPr>
        <w:tabs>
          <w:tab w:val="left" w:pos="8860"/>
        </w:tabs>
        <w:spacing w:line="300" w:lineRule="auto"/>
        <w:ind w:firstLine="480" w:firstLineChars="200"/>
      </w:pPr>
      <w:r>
        <w:rPr>
          <w:rFonts w:ascii="宋体" w:hAnsi="宋体" w:eastAsia="宋体" w:cs="宋体"/>
          <w:color w:val="000000"/>
          <w:sz w:val="24"/>
        </w:rPr>
        <w:t>买受人不解除合同的，</w:t>
      </w:r>
      <w:r>
        <w:rPr>
          <w:rFonts w:ascii="宋体" w:hAnsi="宋体" w:eastAsia="宋体" w:cs="宋体"/>
          <w:b/>
          <w:color w:val="000000"/>
          <w:sz w:val="24"/>
          <w:u w:val="single"/>
        </w:rPr>
        <w:t>出卖人负责继续更换、修理，修理期间，出卖人应结合未修复部分对买受人的正常居住使用影响赔偿买受人直接损失。</w:t>
      </w:r>
    </w:p>
    <w:p w14:paraId="31B3BC98">
      <w:pPr>
        <w:tabs>
          <w:tab w:val="left" w:pos="8860"/>
        </w:tabs>
        <w:spacing w:line="300" w:lineRule="auto"/>
        <w:ind w:firstLine="480" w:firstLineChars="200"/>
      </w:pPr>
      <w:r>
        <w:rPr>
          <w:rFonts w:ascii="宋体" w:hAnsi="宋体" w:eastAsia="宋体" w:cs="宋体"/>
          <w:color w:val="000000"/>
          <w:sz w:val="24"/>
        </w:rPr>
        <w:t xml:space="preserve">（三）装饰装修及设备标准 </w:t>
      </w:r>
    </w:p>
    <w:p w14:paraId="6E738DE2">
      <w:pPr>
        <w:spacing w:line="300" w:lineRule="auto"/>
        <w:ind w:firstLine="480" w:firstLineChars="200"/>
      </w:pPr>
      <w:r>
        <w:rPr>
          <w:rFonts w:ascii="宋体" w:hAnsi="宋体" w:eastAsia="宋体" w:cs="宋体"/>
          <w:color w:val="000000"/>
          <w:sz w:val="24"/>
        </w:rPr>
        <w:t>该商品房应当使用合格的建筑材料、构配件和设备，装置、装修、装饰所用材料的产品质量必须符合国家的强制性标准及双方约定的标准。</w:t>
      </w:r>
    </w:p>
    <w:p w14:paraId="27B5574C">
      <w:pPr>
        <w:spacing w:line="300" w:lineRule="auto"/>
        <w:ind w:firstLine="480" w:firstLineChars="200"/>
      </w:pPr>
      <w:r>
        <w:rPr>
          <w:rFonts w:ascii="宋体" w:hAnsi="宋体" w:eastAsia="宋体" w:cs="宋体"/>
          <w:color w:val="000000"/>
          <w:sz w:val="24"/>
        </w:rPr>
        <w:t>不符合上述标准的，买受人有权要求出卖人按照下列第（1）、</w:t>
      </w:r>
      <w:r>
        <w:rPr>
          <w:rFonts w:ascii="宋体" w:hAnsi="宋体" w:eastAsia="宋体" w:cs="宋体"/>
          <w:color w:val="000000"/>
          <w:sz w:val="24"/>
          <w:u w:val="single"/>
        </w:rPr>
        <w:t xml:space="preserve">  / </w:t>
      </w:r>
      <w:r>
        <w:rPr>
          <w:rFonts w:ascii="宋体" w:hAnsi="宋体" w:eastAsia="宋体" w:cs="宋体"/>
          <w:color w:val="000000"/>
          <w:sz w:val="24"/>
        </w:rPr>
        <w:t>、</w:t>
      </w:r>
      <w:r>
        <w:rPr>
          <w:rFonts w:ascii="宋体" w:hAnsi="宋体" w:eastAsia="宋体" w:cs="宋体"/>
          <w:color w:val="000000"/>
          <w:sz w:val="24"/>
          <w:u w:val="single"/>
        </w:rPr>
        <w:t xml:space="preserve"> /  </w:t>
      </w:r>
      <w:r>
        <w:rPr>
          <w:rFonts w:ascii="宋体" w:hAnsi="宋体" w:eastAsia="宋体" w:cs="宋体"/>
          <w:color w:val="000000"/>
          <w:w w:val="91"/>
          <w:sz w:val="24"/>
        </w:rPr>
        <w:t>方</w:t>
      </w:r>
      <w:r>
        <w:rPr>
          <w:rFonts w:ascii="宋体" w:hAnsi="宋体" w:eastAsia="宋体" w:cs="宋体"/>
          <w:color w:val="000000"/>
          <w:sz w:val="24"/>
        </w:rPr>
        <w:t>式处理（可多选）：</w:t>
      </w:r>
    </w:p>
    <w:p w14:paraId="3BCE0460">
      <w:pPr>
        <w:spacing w:line="300" w:lineRule="auto"/>
        <w:ind w:firstLine="480" w:firstLineChars="200"/>
      </w:pPr>
      <w:r>
        <w:rPr>
          <w:rFonts w:ascii="Arial" w:hAnsi="Arial" w:cs="Arial"/>
          <w:color w:val="000000"/>
          <w:sz w:val="24"/>
        </w:rPr>
        <w:t>（1）</w:t>
      </w:r>
      <w:r>
        <w:rPr>
          <w:rFonts w:ascii="宋体" w:hAnsi="宋体" w:eastAsia="宋体" w:cs="宋体"/>
          <w:color w:val="000000"/>
          <w:sz w:val="24"/>
        </w:rPr>
        <w:t>及时更换、修理；</w:t>
      </w:r>
    </w:p>
    <w:p w14:paraId="71F518EC">
      <w:pPr>
        <w:spacing w:line="300" w:lineRule="auto"/>
        <w:ind w:firstLine="480" w:firstLineChars="200"/>
      </w:pPr>
      <w:r>
        <w:rPr>
          <w:rFonts w:ascii="Arial" w:hAnsi="Arial" w:cs="Arial"/>
          <w:color w:val="000000"/>
          <w:sz w:val="24"/>
        </w:rPr>
        <w:t>（2）</w:t>
      </w:r>
      <w:r>
        <w:rPr>
          <w:rFonts w:ascii="宋体" w:hAnsi="宋体" w:eastAsia="宋体" w:cs="宋体"/>
          <w:color w:val="000000"/>
          <w:sz w:val="24"/>
        </w:rPr>
        <w:t>出卖人赔偿双倍的装饰、设备差价；</w:t>
      </w:r>
    </w:p>
    <w:p w14:paraId="2DB1EF7A">
      <w:pPr>
        <w:spacing w:line="300" w:lineRule="auto"/>
        <w:ind w:firstLine="480" w:firstLineChars="200"/>
      </w:pPr>
      <w:r>
        <w:rPr>
          <w:rFonts w:ascii="Arial" w:hAnsi="Arial" w:cs="Arial"/>
          <w:color w:val="000000"/>
          <w:sz w:val="24"/>
          <w:u w:val="single"/>
        </w:rPr>
        <w:t>（3）</w:t>
      </w:r>
      <w:r>
        <w:rPr>
          <w:rFonts w:ascii="宋体" w:hAnsi="宋体" w:eastAsia="宋体" w:cs="宋体"/>
          <w:color w:val="000000"/>
          <w:sz w:val="24"/>
          <w:u w:val="single"/>
        </w:rPr>
        <w:t xml:space="preserve">               /                                        </w:t>
      </w:r>
      <w:r>
        <w:rPr>
          <w:rFonts w:ascii="宋体" w:hAnsi="宋体" w:eastAsia="宋体" w:cs="宋体"/>
          <w:color w:val="000000"/>
          <w:sz w:val="24"/>
        </w:rPr>
        <w:t>；</w:t>
      </w:r>
    </w:p>
    <w:p w14:paraId="74579103">
      <w:pPr>
        <w:spacing w:line="300" w:lineRule="auto"/>
        <w:ind w:firstLine="480" w:firstLineChars="200"/>
      </w:pPr>
      <w:r>
        <w:rPr>
          <w:rFonts w:ascii="Arial" w:hAnsi="Arial" w:cs="Arial"/>
          <w:color w:val="000000"/>
          <w:sz w:val="24"/>
          <w:u w:val="single"/>
        </w:rPr>
        <w:t>（4）</w:t>
      </w:r>
      <w:r>
        <w:rPr>
          <w:rFonts w:ascii="宋体" w:hAnsi="宋体" w:eastAsia="宋体" w:cs="宋体"/>
          <w:color w:val="000000"/>
          <w:sz w:val="24"/>
          <w:u w:val="single"/>
        </w:rPr>
        <w:t xml:space="preserve">               /                                        </w:t>
      </w:r>
      <w:r>
        <w:rPr>
          <w:rFonts w:ascii="宋体" w:hAnsi="宋体" w:eastAsia="宋体" w:cs="宋体"/>
          <w:color w:val="000000"/>
          <w:sz w:val="24"/>
        </w:rPr>
        <w:t>。</w:t>
      </w:r>
    </w:p>
    <w:p w14:paraId="59C383DC">
      <w:pPr>
        <w:spacing w:line="300" w:lineRule="auto"/>
        <w:ind w:firstLine="480" w:firstLineChars="200"/>
      </w:pPr>
      <w:r>
        <w:rPr>
          <w:rFonts w:ascii="宋体" w:hAnsi="宋体" w:eastAsia="宋体" w:cs="宋体"/>
          <w:color w:val="000000"/>
          <w:sz w:val="24"/>
        </w:rPr>
        <w:t>具体装饰装修及相关设备标准的约定见附件六。</w:t>
      </w:r>
    </w:p>
    <w:p w14:paraId="32DAD0FC">
      <w:pPr>
        <w:spacing w:line="300" w:lineRule="auto"/>
        <w:ind w:firstLine="480" w:firstLineChars="200"/>
      </w:pPr>
      <w:r>
        <w:rPr>
          <w:rFonts w:ascii="宋体" w:hAnsi="宋体" w:eastAsia="宋体" w:cs="宋体"/>
          <w:color w:val="000000"/>
          <w:sz w:val="24"/>
        </w:rPr>
        <w:t>（四）室内空气质量、建筑隔声和民用建筑节能措施</w:t>
      </w:r>
    </w:p>
    <w:p w14:paraId="1532877F">
      <w:pPr>
        <w:spacing w:line="300" w:lineRule="auto"/>
        <w:ind w:firstLine="480" w:firstLineChars="200"/>
        <w:rPr>
          <w:highlight w:val="none"/>
        </w:rPr>
      </w:pPr>
      <w:r>
        <w:rPr>
          <w:rFonts w:ascii="宋体" w:hAnsi="宋体" w:eastAsia="宋体" w:cs="宋体"/>
          <w:color w:val="000000"/>
          <w:sz w:val="24"/>
          <w:highlight w:val="none"/>
        </w:rPr>
        <w:t>1. 该商品房室内空气质量符合【国家】标准，标准名称：</w:t>
      </w:r>
      <w:r>
        <w:rPr>
          <w:rFonts w:ascii="宋体" w:hAnsi="宋体" w:eastAsia="宋体" w:cs="宋体"/>
          <w:color w:val="000000"/>
          <w:sz w:val="24"/>
          <w:highlight w:val="none"/>
          <w:u w:val="single"/>
        </w:rPr>
        <w:t xml:space="preserve">《民用建筑工程室内环境污染控制标准》 </w:t>
      </w:r>
      <w:r>
        <w:rPr>
          <w:rFonts w:ascii="宋体" w:hAnsi="宋体" w:eastAsia="宋体" w:cs="宋体"/>
          <w:color w:val="000000"/>
          <w:sz w:val="24"/>
          <w:highlight w:val="none"/>
        </w:rPr>
        <w:t>，标准文号：</w:t>
      </w:r>
      <w:r>
        <w:rPr>
          <w:rFonts w:ascii="宋体" w:hAnsi="宋体" w:eastAsia="宋体" w:cs="宋体"/>
          <w:color w:val="000000"/>
          <w:sz w:val="24"/>
          <w:highlight w:val="none"/>
          <w:u w:val="single"/>
        </w:rPr>
        <w:t xml:space="preserve">GB50325-2020 </w:t>
      </w:r>
      <w:r>
        <w:rPr>
          <w:rFonts w:ascii="宋体" w:hAnsi="宋体" w:eastAsia="宋体" w:cs="宋体"/>
          <w:color w:val="000000"/>
          <w:sz w:val="24"/>
          <w:highlight w:val="none"/>
        </w:rPr>
        <w:t>。该商品房为住宅的，建筑隔声情况符合【国家】标准，标准名称：</w:t>
      </w:r>
      <w:r>
        <w:rPr>
          <w:rFonts w:ascii="宋体" w:hAnsi="宋体" w:eastAsia="宋体" w:cs="宋体"/>
          <w:color w:val="000000"/>
          <w:sz w:val="24"/>
          <w:highlight w:val="none"/>
          <w:u w:val="single"/>
        </w:rPr>
        <w:t xml:space="preserve">  《民用建筑隔声设计规范》 </w:t>
      </w:r>
      <w:r>
        <w:rPr>
          <w:rFonts w:ascii="宋体" w:hAnsi="宋体" w:eastAsia="宋体" w:cs="宋体"/>
          <w:color w:val="000000"/>
          <w:sz w:val="24"/>
          <w:highlight w:val="none"/>
        </w:rPr>
        <w:t>，标准文号：</w:t>
      </w:r>
      <w:r>
        <w:rPr>
          <w:rFonts w:ascii="宋体" w:hAnsi="宋体" w:eastAsia="宋体" w:cs="宋体"/>
          <w:color w:val="000000"/>
          <w:sz w:val="24"/>
          <w:highlight w:val="none"/>
          <w:u w:val="single"/>
        </w:rPr>
        <w:t>GB50118-2010</w:t>
      </w:r>
      <w:r>
        <w:rPr>
          <w:rFonts w:ascii="宋体" w:hAnsi="宋体" w:eastAsia="宋体" w:cs="宋体"/>
          <w:color w:val="000000"/>
          <w:sz w:val="24"/>
          <w:highlight w:val="none"/>
        </w:rPr>
        <w:t>。</w:t>
      </w:r>
    </w:p>
    <w:p w14:paraId="441814AF">
      <w:pPr>
        <w:spacing w:line="300" w:lineRule="auto"/>
        <w:ind w:firstLine="480" w:firstLineChars="200"/>
      </w:pPr>
      <w:r>
        <w:rPr>
          <w:rFonts w:ascii="宋体" w:hAnsi="宋体" w:eastAsia="宋体" w:cs="宋体"/>
          <w:color w:val="000000"/>
          <w:sz w:val="24"/>
        </w:rPr>
        <w:t>该商品房室内空气质量或建筑隔声情况经检测不符合标准，由出卖人负责整改，整改后仍不符合标准的，买受人有权解除合同。买受人解除合同的，应当书面通知出卖人。出卖人应当自解除合同通知送达之日起15日内退还买受人已付全部房款（含已付贷款部分），并自买受人付款之日起，按照</w:t>
      </w:r>
      <w:r>
        <w:rPr>
          <w:rFonts w:ascii="宋体" w:hAnsi="宋体" w:eastAsia="宋体" w:cs="宋体"/>
          <w:color w:val="000000"/>
          <w:sz w:val="24"/>
          <w:u w:val="single"/>
        </w:rPr>
        <w:t xml:space="preserve">  全国银行间同业拆借中心发布的同期一年期贷款市场报价利率（LPR）  </w:t>
      </w:r>
      <w:r>
        <w:rPr>
          <w:rFonts w:ascii="宋体" w:hAnsi="宋体" w:eastAsia="宋体" w:cs="宋体"/>
          <w:color w:val="000000"/>
          <w:sz w:val="24"/>
        </w:rPr>
        <w:t>%（不低于中国人民银行公布的同期贷款基准利率）计算给付利息。给买受人造成损失的，由出卖人承担相应赔偿责任。经检测不符合标准的，检测费用由出卖人承担，整改后再次检测发生的费用仍由出卖人承担。因整改导致该商品房逾期交付的，出卖人应当承担逾期交付责任。</w:t>
      </w:r>
    </w:p>
    <w:p w14:paraId="2F2D36F5">
      <w:pPr>
        <w:spacing w:line="300" w:lineRule="auto"/>
        <w:ind w:firstLine="480" w:firstLineChars="200"/>
      </w:pPr>
      <w:r>
        <w:rPr>
          <w:rFonts w:ascii="宋体" w:hAnsi="宋体" w:eastAsia="宋体" w:cs="宋体"/>
          <w:color w:val="000000"/>
          <w:sz w:val="24"/>
        </w:rPr>
        <w:t xml:space="preserve">2.该商品房应当符合国家有关民用建筑节能强制性标准的要求。 </w:t>
      </w:r>
    </w:p>
    <w:p w14:paraId="2D841138">
      <w:pPr>
        <w:spacing w:line="300" w:lineRule="auto"/>
        <w:ind w:firstLine="480" w:firstLineChars="200"/>
      </w:pPr>
      <w:r>
        <w:rPr>
          <w:rFonts w:ascii="宋体" w:hAnsi="宋体" w:eastAsia="宋体" w:cs="宋体"/>
          <w:color w:val="000000"/>
          <w:sz w:val="24"/>
        </w:rPr>
        <w:t>未达到标准的，出卖人应当按照相应标准要求补做节能措施，并承担全部费用；给买受人造成损失的，出卖人应当承担相应赔偿责任。</w:t>
      </w:r>
    </w:p>
    <w:p w14:paraId="67D45B61">
      <w:pPr>
        <w:spacing w:line="300" w:lineRule="auto"/>
        <w:ind w:firstLine="480" w:firstLineChars="200"/>
      </w:pPr>
      <w:r>
        <w:rPr>
          <w:rFonts w:ascii="宋体" w:hAnsi="宋体" w:eastAsia="宋体" w:cs="宋体"/>
          <w:color w:val="000000"/>
          <w:sz w:val="24"/>
          <w:u w:val="single"/>
        </w:rPr>
        <w:t xml:space="preserve">/    </w:t>
      </w:r>
      <w:r>
        <w:rPr>
          <w:rFonts w:ascii="宋体" w:hAnsi="宋体" w:eastAsia="宋体" w:cs="宋体"/>
          <w:color w:val="000000"/>
          <w:sz w:val="24"/>
        </w:rPr>
        <w:t>；</w:t>
      </w:r>
    </w:p>
    <w:p w14:paraId="53556DC0">
      <w:pPr>
        <w:spacing w:line="300" w:lineRule="auto"/>
        <w:ind w:firstLine="482" w:firstLineChars="200"/>
      </w:pPr>
      <w:r>
        <w:rPr>
          <w:rFonts w:ascii="宋体" w:hAnsi="宋体" w:eastAsia="宋体" w:cs="宋体"/>
          <w:b/>
          <w:color w:val="000000"/>
          <w:sz w:val="24"/>
        </w:rPr>
        <w:t>第十七条 保修责任</w:t>
      </w:r>
    </w:p>
    <w:p w14:paraId="2375A9F4">
      <w:pPr>
        <w:spacing w:line="300" w:lineRule="auto"/>
        <w:ind w:firstLine="480" w:firstLineChars="200"/>
      </w:pPr>
      <w:r>
        <w:rPr>
          <w:rFonts w:ascii="宋体" w:hAnsi="宋体" w:eastAsia="宋体" w:cs="宋体"/>
          <w:color w:val="000000"/>
          <w:sz w:val="24"/>
        </w:rPr>
        <w:t>（一）商品房实行保修制度。该商品房为住宅的，出卖人自该商品房交付之日起，按照《住宅质量保证书》承诺的内容承担相应的保修责任。该商品房为非住宅的，双方应当签订补充协议详细约定保修范围、保修期限和保修责任等内容。具体内容见附件七。</w:t>
      </w:r>
    </w:p>
    <w:p w14:paraId="34893EFD">
      <w:pPr>
        <w:spacing w:line="300" w:lineRule="auto"/>
        <w:ind w:firstLine="480" w:firstLineChars="200"/>
      </w:pPr>
      <w:r>
        <w:rPr>
          <w:rFonts w:ascii="宋体" w:hAnsi="宋体" w:eastAsia="宋体" w:cs="宋体"/>
          <w:color w:val="000000"/>
          <w:sz w:val="24"/>
        </w:rPr>
        <w:t>（二）下列情形，出卖人不承担保修责任：</w:t>
      </w:r>
    </w:p>
    <w:p w14:paraId="79D9FF9F">
      <w:pPr>
        <w:tabs>
          <w:tab w:val="left" w:pos="780"/>
        </w:tabs>
        <w:spacing w:line="300" w:lineRule="auto"/>
        <w:ind w:left="-60" w:firstLine="480"/>
      </w:pPr>
      <w:r>
        <w:rPr>
          <w:rFonts w:ascii="宋体" w:hAnsi="宋体" w:eastAsia="宋体" w:cs="宋体"/>
          <w:color w:val="000000"/>
          <w:sz w:val="24"/>
        </w:rPr>
        <w:t xml:space="preserve">1.因不可抗力造成的房屋及其附属设施的损害； </w:t>
      </w:r>
    </w:p>
    <w:p w14:paraId="53E97789">
      <w:pPr>
        <w:tabs>
          <w:tab w:val="left" w:pos="780"/>
        </w:tabs>
        <w:spacing w:line="300" w:lineRule="auto"/>
        <w:ind w:left="-60" w:firstLine="480"/>
      </w:pPr>
      <w:r>
        <w:rPr>
          <w:rFonts w:ascii="宋体" w:hAnsi="宋体" w:eastAsia="宋体" w:cs="宋体"/>
          <w:color w:val="000000"/>
          <w:sz w:val="24"/>
        </w:rPr>
        <w:t>2.因买受人不当使用造成的房屋及其附属设施的损害；</w:t>
      </w:r>
    </w:p>
    <w:p w14:paraId="7E695F40">
      <w:pPr>
        <w:tabs>
          <w:tab w:val="left" w:pos="780"/>
        </w:tabs>
        <w:spacing w:line="300" w:lineRule="auto"/>
        <w:ind w:left="-60" w:firstLine="480"/>
      </w:pPr>
      <w:r>
        <w:rPr>
          <w:rFonts w:ascii="宋体" w:hAnsi="宋体" w:eastAsia="宋体" w:cs="宋体"/>
          <w:color w:val="000000"/>
          <w:sz w:val="24"/>
          <w:u w:val="single"/>
        </w:rPr>
        <w:t>3.</w:t>
      </w:r>
      <w:r>
        <w:rPr>
          <w:rFonts w:ascii="宋体" w:hAnsi="宋体" w:eastAsia="宋体" w:cs="宋体"/>
          <w:b/>
          <w:color w:val="000000"/>
          <w:sz w:val="24"/>
          <w:u w:val="single"/>
        </w:rPr>
        <w:t>买受人改变房屋结构、改变用途、装修不当或第三人原因或自然磨损等其它非出卖人原因造成的房屋及附属设施的损害。</w:t>
      </w:r>
    </w:p>
    <w:p w14:paraId="06220EAE">
      <w:pPr>
        <w:spacing w:line="300" w:lineRule="auto"/>
        <w:ind w:firstLine="480" w:firstLineChars="200"/>
      </w:pPr>
      <w:r>
        <w:rPr>
          <w:rFonts w:ascii="宋体" w:hAnsi="宋体" w:eastAsia="宋体" w:cs="宋体"/>
          <w:color w:val="000000"/>
          <w:sz w:val="24"/>
        </w:rPr>
        <w:t>（三）在保修期内，买受人要求维修的书面通知送达出卖人</w:t>
      </w:r>
      <w:r>
        <w:rPr>
          <w:rFonts w:ascii="宋体" w:hAnsi="宋体" w:eastAsia="宋体" w:cs="宋体"/>
          <w:color w:val="000000"/>
          <w:sz w:val="24"/>
          <w:u w:val="single"/>
        </w:rPr>
        <w:t xml:space="preserve">   90   </w:t>
      </w:r>
      <w:r>
        <w:rPr>
          <w:rFonts w:ascii="宋体" w:hAnsi="宋体" w:eastAsia="宋体" w:cs="宋体"/>
          <w:color w:val="000000"/>
          <w:sz w:val="24"/>
        </w:rPr>
        <w:t>日内，出卖人既不履行保修义务也不提出书面异议的，买受人可以自行或委托他人进行维修，维修费用及维修期间造成的其他损失由出卖人承担。</w:t>
      </w:r>
    </w:p>
    <w:p w14:paraId="32C2AFC2">
      <w:pPr>
        <w:spacing w:line="300" w:lineRule="auto"/>
        <w:ind w:firstLine="482" w:firstLineChars="200"/>
      </w:pPr>
      <w:r>
        <w:rPr>
          <w:rFonts w:ascii="宋体" w:hAnsi="宋体" w:eastAsia="宋体" w:cs="宋体"/>
          <w:b/>
          <w:color w:val="000000"/>
          <w:sz w:val="24"/>
        </w:rPr>
        <w:t xml:space="preserve">第十八条 质量担保 </w:t>
      </w:r>
    </w:p>
    <w:p w14:paraId="6F8E3F0F">
      <w:pPr>
        <w:spacing w:line="300" w:lineRule="auto"/>
        <w:ind w:firstLine="480" w:firstLineChars="200"/>
      </w:pPr>
      <w:r>
        <w:rPr>
          <w:rFonts w:ascii="宋体" w:hAnsi="宋体" w:eastAsia="宋体" w:cs="宋体"/>
          <w:color w:val="000000"/>
          <w:sz w:val="24"/>
        </w:rPr>
        <w:t>出卖人不按照第十六条、第十七条约定承担相关责任的，由</w:t>
      </w:r>
      <w:r>
        <w:rPr>
          <w:rFonts w:ascii="宋体" w:hAnsi="宋体" w:eastAsia="宋体" w:cs="宋体"/>
          <w:color w:val="000000"/>
          <w:sz w:val="24"/>
          <w:u w:val="single"/>
        </w:rPr>
        <w:t xml:space="preserve"> / </w:t>
      </w:r>
      <w:r>
        <w:rPr>
          <w:rFonts w:ascii="宋体" w:hAnsi="宋体" w:eastAsia="宋体" w:cs="宋体"/>
          <w:color w:val="000000"/>
          <w:sz w:val="24"/>
        </w:rPr>
        <w:t>承担连带责任。</w:t>
      </w:r>
    </w:p>
    <w:p w14:paraId="6C2B4289">
      <w:pPr>
        <w:spacing w:line="300" w:lineRule="auto"/>
        <w:ind w:firstLine="480" w:firstLineChars="200"/>
      </w:pPr>
      <w:r>
        <w:rPr>
          <w:rFonts w:ascii="宋体" w:hAnsi="宋体" w:eastAsia="宋体" w:cs="宋体"/>
          <w:color w:val="000000"/>
          <w:sz w:val="24"/>
        </w:rPr>
        <w:t>关于质量担保的证明见附件八。</w:t>
      </w:r>
    </w:p>
    <w:p w14:paraId="510BAD2C">
      <w:pPr>
        <w:spacing w:line="300" w:lineRule="auto"/>
        <w:ind w:firstLine="562" w:firstLineChars="200"/>
        <w:jc w:val="center"/>
      </w:pPr>
      <w:r>
        <w:rPr>
          <w:rFonts w:ascii="宋体" w:hAnsi="宋体" w:eastAsia="宋体" w:cs="宋体"/>
          <w:b/>
          <w:color w:val="000000"/>
          <w:sz w:val="28"/>
        </w:rPr>
        <w:t>第八章 合同备案与房屋登记</w:t>
      </w:r>
    </w:p>
    <w:p w14:paraId="1D9838B4">
      <w:pPr>
        <w:spacing w:line="300" w:lineRule="auto"/>
        <w:ind w:firstLine="482" w:firstLineChars="200"/>
      </w:pPr>
      <w:r>
        <w:rPr>
          <w:rFonts w:ascii="宋体" w:hAnsi="宋体" w:eastAsia="宋体" w:cs="宋体"/>
          <w:b/>
          <w:color w:val="000000"/>
          <w:sz w:val="24"/>
        </w:rPr>
        <w:t xml:space="preserve">第十九条 预售合同登记备案 </w:t>
      </w:r>
    </w:p>
    <w:p w14:paraId="6B060683">
      <w:pPr>
        <w:spacing w:line="300" w:lineRule="auto"/>
        <w:ind w:firstLine="480" w:firstLineChars="200"/>
      </w:pPr>
      <w:r>
        <w:rPr>
          <w:rFonts w:ascii="宋体" w:hAnsi="宋体" w:eastAsia="宋体" w:cs="宋体"/>
          <w:color w:val="000000"/>
          <w:sz w:val="24"/>
        </w:rPr>
        <w:t>双方同意本合同经无锡市商品房备案系统生成后打印并即时备案。</w:t>
      </w:r>
    </w:p>
    <w:p w14:paraId="6FBE2E7D">
      <w:pPr>
        <w:spacing w:line="300" w:lineRule="auto"/>
        <w:ind w:firstLine="482" w:firstLineChars="200"/>
      </w:pPr>
      <w:r>
        <w:rPr>
          <w:rFonts w:ascii="宋体" w:hAnsi="宋体" w:eastAsia="宋体" w:cs="宋体"/>
          <w:b/>
          <w:color w:val="000000"/>
          <w:sz w:val="24"/>
        </w:rPr>
        <w:t>第二十条  房屋登记</w:t>
      </w:r>
    </w:p>
    <w:p w14:paraId="021A6373">
      <w:pPr>
        <w:spacing w:line="300" w:lineRule="auto"/>
        <w:ind w:firstLine="480" w:firstLineChars="200"/>
      </w:pPr>
      <w:r>
        <w:rPr>
          <w:rFonts w:ascii="宋体" w:hAnsi="宋体" w:eastAsia="宋体" w:cs="宋体"/>
          <w:color w:val="000000"/>
          <w:sz w:val="24"/>
        </w:rPr>
        <w:t xml:space="preserve">（一）双方同意共同向房屋登记机构申请办理该商品房的房屋所有权转移登记（预告登记）。出卖方将经其盖章的不动产登记申请书交买受人的，视为双方共同申请登记。 </w:t>
      </w:r>
    </w:p>
    <w:p w14:paraId="0699FAAA">
      <w:pPr>
        <w:spacing w:line="300" w:lineRule="auto"/>
        <w:ind w:firstLine="480" w:firstLineChars="200"/>
      </w:pPr>
      <w:r>
        <w:rPr>
          <w:rFonts w:ascii="宋体" w:hAnsi="宋体" w:eastAsia="宋体" w:cs="宋体"/>
          <w:color w:val="000000"/>
          <w:sz w:val="24"/>
        </w:rPr>
        <w:t>（二）因出卖人的原因，买受人未能在该商品房交付之日起</w:t>
      </w:r>
      <w:r>
        <w:rPr>
          <w:rFonts w:ascii="宋体" w:hAnsi="宋体" w:eastAsia="宋体" w:cs="宋体"/>
          <w:color w:val="000000"/>
          <w:sz w:val="24"/>
          <w:u w:val="single"/>
        </w:rPr>
        <w:t xml:space="preserve">  180  </w:t>
      </w:r>
      <w:r>
        <w:rPr>
          <w:rFonts w:ascii="宋体" w:hAnsi="宋体" w:eastAsia="宋体" w:cs="宋体"/>
          <w:color w:val="000000"/>
          <w:sz w:val="24"/>
        </w:rPr>
        <w:t>日内取得该商品房的房屋所有权证书的，双方同意按照下列第</w:t>
      </w:r>
      <w:r>
        <w:rPr>
          <w:rFonts w:ascii="宋体" w:hAnsi="宋体" w:eastAsia="宋体" w:cs="宋体"/>
          <w:color w:val="000000"/>
          <w:sz w:val="24"/>
          <w:u w:val="single"/>
        </w:rPr>
        <w:t xml:space="preserve"> 1 </w:t>
      </w:r>
      <w:r>
        <w:rPr>
          <w:rFonts w:ascii="宋体" w:hAnsi="宋体" w:eastAsia="宋体" w:cs="宋体"/>
          <w:color w:val="000000"/>
          <w:sz w:val="24"/>
        </w:rPr>
        <w:t>种方式处理：</w:t>
      </w:r>
    </w:p>
    <w:p w14:paraId="244034FA">
      <w:pPr>
        <w:spacing w:line="300" w:lineRule="auto"/>
        <w:ind w:firstLine="480" w:firstLineChars="200"/>
      </w:pPr>
      <w:r>
        <w:rPr>
          <w:rFonts w:ascii="宋体" w:hAnsi="宋体" w:eastAsia="宋体" w:cs="宋体"/>
          <w:color w:val="000000"/>
          <w:sz w:val="24"/>
        </w:rPr>
        <w:t>1. 买受人有权解除合同。买受人解除合同的，应当书面通知出卖人。出卖人应当自解除合同通知送达之日起15日内退还买受人已付全部房款（含已付贷款部分），并自买受人付款之日起，按照</w:t>
      </w:r>
      <w:r>
        <w:rPr>
          <w:rFonts w:ascii="宋体" w:hAnsi="宋体" w:eastAsia="宋体" w:cs="宋体"/>
          <w:color w:val="000000"/>
          <w:sz w:val="24"/>
          <w:u w:val="single"/>
        </w:rPr>
        <w:t xml:space="preserve">  </w:t>
      </w:r>
      <w:r>
        <w:rPr>
          <w:rFonts w:ascii="宋体" w:hAnsi="宋体" w:eastAsia="宋体" w:cs="宋体"/>
          <w:b/>
          <w:color w:val="000000"/>
          <w:spacing w:val="-2"/>
          <w:sz w:val="24"/>
          <w:u w:val="single"/>
        </w:rPr>
        <w:t>全国银行间同业拆借中心发布的同期一年期贷款市场报价利率（LPR）</w:t>
      </w:r>
      <w:r>
        <w:rPr>
          <w:rFonts w:ascii="宋体" w:hAnsi="宋体" w:eastAsia="宋体" w:cs="宋体"/>
          <w:color w:val="000000"/>
          <w:sz w:val="24"/>
          <w:u w:val="single"/>
        </w:rPr>
        <w:t xml:space="preserve">   </w:t>
      </w:r>
      <w:r>
        <w:rPr>
          <w:rFonts w:ascii="宋体" w:hAnsi="宋体" w:eastAsia="宋体" w:cs="宋体"/>
          <w:color w:val="000000"/>
          <w:sz w:val="24"/>
        </w:rPr>
        <w:t>%（不低于中国人民银行公布的同期贷款基准利率）计算给付利息。买受人不解除合同的，自买受人应当完成房屋所有权登记的期限届满之次日起至实际完成房屋所有权登记之日止，出卖人按日计算向买受人支付全部房价款万分之</w:t>
      </w:r>
      <w:r>
        <w:rPr>
          <w:rFonts w:ascii="宋体" w:hAnsi="宋体" w:eastAsia="宋体" w:cs="宋体"/>
          <w:color w:val="000000"/>
          <w:sz w:val="24"/>
          <w:u w:val="single"/>
        </w:rPr>
        <w:t xml:space="preserve">   零点五   </w:t>
      </w:r>
      <w:r>
        <w:rPr>
          <w:rFonts w:ascii="宋体" w:hAnsi="宋体" w:eastAsia="宋体" w:cs="宋体"/>
          <w:color w:val="000000"/>
          <w:sz w:val="24"/>
        </w:rPr>
        <w:t>的违约金。</w:t>
      </w:r>
    </w:p>
    <w:p w14:paraId="17FD7C26">
      <w:pPr>
        <w:spacing w:line="300" w:lineRule="auto"/>
        <w:ind w:firstLine="480" w:firstLineChars="200"/>
      </w:pPr>
      <w:r>
        <w:rPr>
          <w:rFonts w:ascii="宋体" w:hAnsi="宋体" w:eastAsia="宋体" w:cs="宋体"/>
          <w:color w:val="000000"/>
          <w:sz w:val="24"/>
        </w:rPr>
        <w:t xml:space="preserve">2. </w:t>
      </w:r>
      <w:r>
        <w:rPr>
          <w:rFonts w:ascii="宋体" w:hAnsi="宋体" w:eastAsia="宋体" w:cs="宋体"/>
          <w:color w:val="000000"/>
          <w:sz w:val="24"/>
          <w:u w:val="single"/>
        </w:rPr>
        <w:t xml:space="preserve"> /                                    </w:t>
      </w:r>
    </w:p>
    <w:p w14:paraId="58A9EBBB">
      <w:pPr>
        <w:spacing w:line="300" w:lineRule="auto"/>
        <w:ind w:firstLine="480" w:firstLineChars="200"/>
      </w:pPr>
      <w:r>
        <w:rPr>
          <w:rFonts w:ascii="宋体" w:hAnsi="宋体" w:eastAsia="宋体" w:cs="宋体"/>
          <w:color w:val="000000"/>
          <w:sz w:val="24"/>
        </w:rPr>
        <w:t>（三）因买受人的原因未能在约定期限内完成该商品房的房屋所有权转移登记的，出卖人不承担责任。</w:t>
      </w:r>
    </w:p>
    <w:p w14:paraId="41C03E18">
      <w:pPr>
        <w:spacing w:line="300" w:lineRule="auto"/>
        <w:ind w:firstLine="562" w:firstLineChars="200"/>
        <w:jc w:val="center"/>
      </w:pPr>
      <w:r>
        <w:rPr>
          <w:rFonts w:ascii="宋体" w:hAnsi="宋体" w:eastAsia="宋体" w:cs="宋体"/>
          <w:b/>
          <w:color w:val="000000"/>
          <w:sz w:val="28"/>
        </w:rPr>
        <w:t>第九章 前期物业管理</w:t>
      </w:r>
    </w:p>
    <w:p w14:paraId="65159C33">
      <w:pPr>
        <w:spacing w:line="300" w:lineRule="auto"/>
        <w:ind w:firstLine="482" w:firstLineChars="200"/>
      </w:pPr>
      <w:r>
        <w:rPr>
          <w:rFonts w:ascii="宋体" w:hAnsi="宋体" w:eastAsia="宋体" w:cs="宋体"/>
          <w:b/>
          <w:color w:val="000000"/>
          <w:sz w:val="24"/>
        </w:rPr>
        <w:t xml:space="preserve">第二十一条 前期物业管理 </w:t>
      </w:r>
    </w:p>
    <w:p w14:paraId="37B8A711">
      <w:pPr>
        <w:spacing w:line="300" w:lineRule="auto"/>
        <w:ind w:firstLine="480" w:firstLineChars="200"/>
      </w:pPr>
      <w:r>
        <w:rPr>
          <w:rFonts w:ascii="宋体" w:hAnsi="宋体" w:eastAsia="宋体" w:cs="宋体"/>
          <w:color w:val="000000"/>
          <w:sz w:val="24"/>
        </w:rPr>
        <w:t>（一）出卖人依法选聘的前期物业服务企业为</w:t>
      </w:r>
      <w:r>
        <w:rPr>
          <w:rFonts w:ascii="宋体" w:hAnsi="宋体" w:eastAsia="宋体" w:cs="宋体"/>
          <w:color w:val="000000"/>
          <w:sz w:val="24"/>
          <w:u w:val="single"/>
        </w:rPr>
        <w:t xml:space="preserve">  绿城物业服务集团有限公司。  </w:t>
      </w:r>
    </w:p>
    <w:p w14:paraId="2B007877">
      <w:pPr>
        <w:spacing w:line="300" w:lineRule="auto"/>
        <w:ind w:firstLine="480" w:firstLineChars="200"/>
      </w:pPr>
      <w:r>
        <w:rPr>
          <w:rFonts w:ascii="宋体" w:hAnsi="宋体" w:eastAsia="宋体" w:cs="宋体"/>
          <w:color w:val="000000"/>
          <w:sz w:val="24"/>
        </w:rPr>
        <w:t>（二）物业服务时间从</w:t>
      </w:r>
      <w:r>
        <w:rPr>
          <w:rFonts w:ascii="宋体" w:hAnsi="宋体" w:eastAsia="宋体" w:cs="宋体"/>
          <w:color w:val="000000"/>
          <w:sz w:val="24"/>
          <w:u w:val="single"/>
        </w:rPr>
        <w:t xml:space="preserve">  2027  </w:t>
      </w:r>
      <w:r>
        <w:rPr>
          <w:rFonts w:ascii="宋体" w:hAnsi="宋体" w:eastAsia="宋体" w:cs="宋体"/>
          <w:color w:val="000000"/>
          <w:sz w:val="24"/>
        </w:rPr>
        <w:t>年</w:t>
      </w:r>
      <w:r>
        <w:rPr>
          <w:rFonts w:ascii="宋体" w:hAnsi="宋体" w:eastAsia="宋体" w:cs="宋体"/>
          <w:color w:val="000000"/>
          <w:sz w:val="24"/>
          <w:u w:val="single"/>
        </w:rPr>
        <w:t xml:space="preserve">  12   </w:t>
      </w:r>
      <w:r>
        <w:rPr>
          <w:rFonts w:ascii="宋体" w:hAnsi="宋体" w:eastAsia="宋体" w:cs="宋体"/>
          <w:color w:val="000000"/>
          <w:sz w:val="24"/>
        </w:rPr>
        <w:t>月</w:t>
      </w:r>
      <w:r>
        <w:rPr>
          <w:rFonts w:ascii="宋体" w:hAnsi="宋体" w:eastAsia="宋体" w:cs="宋体"/>
          <w:color w:val="000000"/>
          <w:sz w:val="24"/>
          <w:u w:val="single"/>
        </w:rPr>
        <w:t xml:space="preserve">  31  </w:t>
      </w:r>
      <w:r>
        <w:rPr>
          <w:rFonts w:ascii="宋体" w:hAnsi="宋体" w:eastAsia="宋体" w:cs="宋体"/>
          <w:color w:val="000000"/>
          <w:sz w:val="24"/>
        </w:rPr>
        <w:t>日到</w:t>
      </w:r>
      <w:r>
        <w:rPr>
          <w:rFonts w:ascii="宋体" w:hAnsi="宋体" w:eastAsia="宋体" w:cs="宋体"/>
          <w:color w:val="000000"/>
          <w:sz w:val="24"/>
          <w:u w:val="single"/>
        </w:rPr>
        <w:t xml:space="preserve"> 业主大会成立并由业主委员会代表全体业主与新的物业管理企业签订新的物业服务合同生效时，本合同自动终止  </w:t>
      </w:r>
      <w:r>
        <w:rPr>
          <w:rFonts w:ascii="宋体" w:hAnsi="宋体" w:eastAsia="宋体" w:cs="宋体"/>
          <w:color w:val="000000"/>
          <w:sz w:val="24"/>
        </w:rPr>
        <w:t>。</w:t>
      </w:r>
    </w:p>
    <w:p w14:paraId="2DFFCC83">
      <w:pPr>
        <w:spacing w:line="300" w:lineRule="auto"/>
        <w:ind w:firstLine="480" w:firstLineChars="200"/>
      </w:pPr>
      <w:r>
        <w:rPr>
          <w:rFonts w:ascii="宋体" w:hAnsi="宋体" w:eastAsia="宋体" w:cs="宋体"/>
          <w:color w:val="000000"/>
          <w:sz w:val="24"/>
        </w:rPr>
        <w:t>（三）物业服务期间，物业收费计费方式为【包干制】。物业服务费为</w:t>
      </w:r>
      <w:r>
        <w:rPr>
          <w:rFonts w:ascii="宋体" w:hAnsi="宋体" w:eastAsia="宋体" w:cs="宋体"/>
          <w:color w:val="000000"/>
          <w:sz w:val="24"/>
          <w:u w:val="single"/>
        </w:rPr>
        <w:t xml:space="preserve"> 住宅3.48元/月·平方米，商业5 </w:t>
      </w:r>
      <w:r>
        <w:rPr>
          <w:rFonts w:ascii="宋体" w:hAnsi="宋体" w:eastAsia="宋体" w:cs="宋体"/>
          <w:color w:val="000000"/>
          <w:sz w:val="24"/>
        </w:rPr>
        <w:t>元/月·平方米（建筑面积）。</w:t>
      </w:r>
    </w:p>
    <w:p w14:paraId="42DF6CDA">
      <w:pPr>
        <w:spacing w:line="300" w:lineRule="auto"/>
        <w:ind w:firstLine="480" w:firstLineChars="200"/>
      </w:pPr>
      <w:r>
        <w:rPr>
          <w:rFonts w:ascii="宋体" w:hAnsi="宋体" w:eastAsia="宋体" w:cs="宋体"/>
          <w:color w:val="000000"/>
          <w:sz w:val="24"/>
        </w:rPr>
        <w:t>（四）买受人同意由出卖人选聘的前期物业服务企业代为查验并承接物业共用部位、共用设施设备，出卖人应当将物业共用部位、共用设施设备承接查验的备案情况书面告知买受人。</w:t>
      </w:r>
    </w:p>
    <w:p w14:paraId="4417EC5F">
      <w:pPr>
        <w:spacing w:line="300" w:lineRule="auto"/>
        <w:ind w:firstLine="480" w:firstLineChars="200"/>
      </w:pPr>
      <w:r>
        <w:rPr>
          <w:rFonts w:ascii="宋体" w:hAnsi="宋体" w:eastAsia="宋体" w:cs="宋体"/>
          <w:color w:val="000000"/>
          <w:sz w:val="24"/>
        </w:rPr>
        <w:t>（五）买受人已详细阅读前期物业服务合同和临时管理规约，同意由出卖人依法选聘的物业服务企业实施前期物业管理，遵守临时管理规约。业主委员会成立后，由业主大会决定选聘或续聘物业服务企业。</w:t>
      </w:r>
    </w:p>
    <w:p w14:paraId="0F98B7C1">
      <w:pPr>
        <w:spacing w:line="300" w:lineRule="auto"/>
        <w:ind w:firstLine="480" w:firstLineChars="200"/>
      </w:pPr>
      <w:r>
        <w:rPr>
          <w:rFonts w:ascii="宋体" w:hAnsi="宋体" w:eastAsia="宋体" w:cs="宋体"/>
          <w:color w:val="000000"/>
          <w:sz w:val="24"/>
        </w:rPr>
        <w:t>该商品房前期物业服务合同、临时管理规约见附件九。</w:t>
      </w:r>
    </w:p>
    <w:p w14:paraId="52F212F5">
      <w:pPr>
        <w:spacing w:line="300" w:lineRule="auto"/>
        <w:ind w:firstLine="562" w:firstLineChars="200"/>
        <w:jc w:val="center"/>
      </w:pPr>
      <w:r>
        <w:rPr>
          <w:rFonts w:ascii="宋体" w:hAnsi="宋体" w:eastAsia="宋体" w:cs="宋体"/>
          <w:b/>
          <w:color w:val="000000"/>
          <w:sz w:val="28"/>
        </w:rPr>
        <w:t>第十章 其他事项</w:t>
      </w:r>
    </w:p>
    <w:p w14:paraId="6C6C98B4">
      <w:pPr>
        <w:spacing w:line="300" w:lineRule="auto"/>
        <w:ind w:firstLine="482" w:firstLineChars="200"/>
      </w:pPr>
      <w:r>
        <w:rPr>
          <w:rFonts w:ascii="宋体" w:hAnsi="宋体" w:eastAsia="宋体" w:cs="宋体"/>
          <w:b/>
          <w:color w:val="000000"/>
          <w:sz w:val="24"/>
        </w:rPr>
        <w:t xml:space="preserve">第二十二条 建筑物区分所有权 </w:t>
      </w:r>
    </w:p>
    <w:p w14:paraId="45815E1A">
      <w:pPr>
        <w:spacing w:line="300" w:lineRule="auto"/>
        <w:ind w:firstLine="480" w:firstLineChars="200"/>
      </w:pPr>
      <w:r>
        <w:rPr>
          <w:rFonts w:ascii="宋体" w:hAnsi="宋体" w:eastAsia="宋体" w:cs="宋体"/>
          <w:color w:val="000000"/>
          <w:sz w:val="24"/>
        </w:rPr>
        <w:t>（一）买受人对其建筑物专有部分享有占有、使用、收益和处分的权利。</w:t>
      </w:r>
    </w:p>
    <w:p w14:paraId="76A3021D">
      <w:pPr>
        <w:spacing w:line="300" w:lineRule="auto"/>
        <w:ind w:firstLine="480" w:firstLineChars="200"/>
      </w:pPr>
      <w:r>
        <w:rPr>
          <w:rFonts w:ascii="宋体" w:hAnsi="宋体" w:eastAsia="宋体" w:cs="宋体"/>
          <w:color w:val="000000"/>
          <w:sz w:val="24"/>
        </w:rPr>
        <w:t>（二）以下部位归业主共有：</w:t>
      </w:r>
    </w:p>
    <w:p w14:paraId="6D79DD17">
      <w:pPr>
        <w:tabs>
          <w:tab w:val="left" w:pos="784"/>
        </w:tabs>
        <w:spacing w:line="300" w:lineRule="auto"/>
        <w:ind w:firstLine="480" w:firstLineChars="200"/>
      </w:pPr>
      <w:r>
        <w:rPr>
          <w:rFonts w:ascii="宋体" w:hAnsi="宋体" w:eastAsia="宋体" w:cs="宋体"/>
          <w:color w:val="000000"/>
          <w:sz w:val="24"/>
        </w:rPr>
        <w:t xml:space="preserve">1.建筑物的基础、承重结构、外墙、屋顶等基本结构部分，通道、楼梯、大堂等公共通行部分，消防、公共照明等附属设施、设备，避难层、设备层或者设备间等结构部分； </w:t>
      </w:r>
    </w:p>
    <w:p w14:paraId="0E720BD9">
      <w:pPr>
        <w:tabs>
          <w:tab w:val="left" w:pos="780"/>
        </w:tabs>
        <w:spacing w:line="300" w:lineRule="auto"/>
        <w:ind w:firstLine="480" w:firstLineChars="200"/>
      </w:pPr>
      <w:r>
        <w:rPr>
          <w:rFonts w:ascii="宋体" w:hAnsi="宋体" w:eastAsia="宋体" w:cs="宋体"/>
          <w:color w:val="000000"/>
          <w:sz w:val="24"/>
        </w:rPr>
        <w:t>2.该商品房所在建筑区划内的道路（属于城镇公共道路的除外）、绿地（属于城镇公共绿地或者明示属于个人的除外）、占用业主共有的道路或者其他场地用于停放汽车的车位、物业服务用房；</w:t>
      </w:r>
    </w:p>
    <w:p w14:paraId="11790A87">
      <w:pPr>
        <w:tabs>
          <w:tab w:val="left" w:pos="780"/>
        </w:tabs>
        <w:spacing w:line="300" w:lineRule="auto"/>
        <w:ind w:firstLine="480" w:firstLineChars="200"/>
      </w:pPr>
      <w:r>
        <w:rPr>
          <w:rFonts w:ascii="宋体" w:hAnsi="宋体" w:eastAsia="宋体" w:cs="宋体"/>
          <w:color w:val="000000"/>
          <w:sz w:val="24"/>
          <w:u w:val="single"/>
        </w:rPr>
        <w:t>3. 该商品房所在楼宇的屋面、露台等归该幢楼宇买受人共有，但归与该等区域按规划设计直接连通的商品房的买受人专属使用，该买受人享有专有（独占）使用权，使用时须符合本小区《管理规约》（包括临时管理规约）、《物业服务协议》及物业管理其他相关规定；</w:t>
      </w:r>
    </w:p>
    <w:p w14:paraId="3B3DB4EF">
      <w:pPr>
        <w:tabs>
          <w:tab w:val="left" w:pos="780"/>
        </w:tabs>
        <w:spacing w:line="300" w:lineRule="auto"/>
        <w:ind w:firstLine="480" w:firstLineChars="200"/>
      </w:pPr>
      <w:r>
        <w:rPr>
          <w:rFonts w:ascii="宋体" w:hAnsi="宋体" w:eastAsia="宋体" w:cs="宋体"/>
          <w:color w:val="000000"/>
          <w:sz w:val="24"/>
          <w:u w:val="single"/>
        </w:rPr>
        <w:t>4.买受人同意，出卖人有权无偿使用该商品房所在楼宇的屋顶、外墙等用于设置该商品房所在小区案名、Logo、出卖人企业及所属集团标识等亮灯形式或其他形式的标识标牌或广告。</w:t>
      </w:r>
      <w:r>
        <w:rPr>
          <w:rFonts w:ascii="宋体" w:hAnsi="宋体" w:eastAsia="宋体" w:cs="宋体"/>
          <w:color w:val="000000"/>
          <w:sz w:val="24"/>
        </w:rPr>
        <w:t xml:space="preserve"> </w:t>
      </w:r>
    </w:p>
    <w:p w14:paraId="7D869274">
      <w:pPr>
        <w:spacing w:line="300" w:lineRule="auto"/>
        <w:ind w:firstLine="480" w:firstLineChars="200"/>
      </w:pPr>
      <w:r>
        <w:rPr>
          <w:rFonts w:ascii="宋体" w:hAnsi="宋体" w:eastAsia="宋体" w:cs="宋体"/>
          <w:color w:val="000000"/>
          <w:sz w:val="24"/>
        </w:rPr>
        <w:t>（三）双方对其他配套设施约定如下：</w:t>
      </w:r>
    </w:p>
    <w:p w14:paraId="7BAA5720">
      <w:pPr>
        <w:spacing w:line="300" w:lineRule="auto"/>
        <w:ind w:firstLine="480" w:firstLineChars="200"/>
      </w:pPr>
      <w:r>
        <w:rPr>
          <w:rFonts w:ascii="宋体" w:hAnsi="宋体" w:eastAsia="宋体" w:cs="宋体"/>
          <w:color w:val="000000"/>
          <w:sz w:val="24"/>
        </w:rPr>
        <w:t>1.规划的车位、车库：</w:t>
      </w:r>
      <w:r>
        <w:rPr>
          <w:rFonts w:ascii="宋体" w:hAnsi="宋体" w:eastAsia="宋体" w:cs="宋体"/>
          <w:color w:val="000000"/>
          <w:sz w:val="24"/>
          <w:u w:val="single"/>
        </w:rPr>
        <w:t xml:space="preserve">  所有权、收益权、处分权等归出卖人所有，出卖人可通过出售、附赠、转让使用权或出租等方式进行处置 ；</w:t>
      </w:r>
    </w:p>
    <w:p w14:paraId="30E2AB16">
      <w:pPr>
        <w:spacing w:line="300" w:lineRule="auto"/>
        <w:ind w:firstLine="480" w:firstLineChars="200"/>
      </w:pPr>
      <w:r>
        <w:rPr>
          <w:rFonts w:ascii="宋体" w:hAnsi="宋体" w:eastAsia="宋体" w:cs="宋体"/>
          <w:color w:val="000000"/>
          <w:sz w:val="24"/>
        </w:rPr>
        <w:t>2.会所：</w:t>
      </w:r>
      <w:r>
        <w:rPr>
          <w:rFonts w:ascii="宋体" w:hAnsi="宋体" w:eastAsia="宋体" w:cs="宋体"/>
          <w:color w:val="000000"/>
          <w:sz w:val="24"/>
          <w:u w:val="single"/>
        </w:rPr>
        <w:t xml:space="preserve">   /      </w:t>
      </w:r>
      <w:r>
        <w:rPr>
          <w:rFonts w:ascii="宋体" w:hAnsi="宋体" w:eastAsia="宋体" w:cs="宋体"/>
          <w:color w:val="000000"/>
          <w:sz w:val="24"/>
        </w:rPr>
        <w:t>；</w:t>
      </w:r>
    </w:p>
    <w:p w14:paraId="6654CBB7">
      <w:pPr>
        <w:spacing w:line="300" w:lineRule="auto"/>
        <w:ind w:firstLine="480" w:firstLineChars="200"/>
      </w:pPr>
      <w:r>
        <w:rPr>
          <w:rFonts w:ascii="宋体" w:hAnsi="宋体" w:eastAsia="宋体" w:cs="宋体"/>
          <w:color w:val="000000"/>
          <w:sz w:val="24"/>
        </w:rPr>
        <w:t>3.</w:t>
      </w:r>
      <w:r>
        <w:rPr>
          <w:rFonts w:ascii="宋体" w:hAnsi="宋体" w:eastAsia="宋体" w:cs="宋体"/>
          <w:color w:val="000000"/>
          <w:sz w:val="24"/>
          <w:u w:val="single"/>
        </w:rPr>
        <w:t xml:space="preserve"> 建筑区划内，按照房产测量规范等法规、政策未计入买受人商品房建筑面积，且又不属于法定必须移交给业主、物业服务企业和社区机构的建筑物（构筑物）及其构造内有独立利用价值的空间或区域，包括但不限于车库、地下车位、地下空间、库房、储藏室、工具间、杂物间、夹层、商业用房及超出政府规定范围的配套用房及空间等，其产权归属于出卖人。出卖人有权持有自用、有偿转让、出租、提供给他人使用或以其他方式进行处置。</w:t>
      </w:r>
    </w:p>
    <w:p w14:paraId="70C940E6">
      <w:pPr>
        <w:spacing w:line="300" w:lineRule="auto"/>
        <w:ind w:firstLine="482" w:firstLineChars="200"/>
      </w:pPr>
      <w:r>
        <w:rPr>
          <w:rFonts w:ascii="宋体" w:hAnsi="宋体" w:eastAsia="宋体" w:cs="宋体"/>
          <w:b/>
          <w:color w:val="000000"/>
          <w:sz w:val="24"/>
        </w:rPr>
        <w:t>第二十三条 税费</w:t>
      </w:r>
    </w:p>
    <w:p w14:paraId="634BF3D3">
      <w:pPr>
        <w:spacing w:line="300" w:lineRule="auto"/>
        <w:ind w:firstLine="480" w:firstLineChars="200"/>
      </w:pPr>
      <w:r>
        <w:rPr>
          <w:rFonts w:ascii="宋体" w:hAnsi="宋体" w:eastAsia="宋体" w:cs="宋体"/>
          <w:color w:val="000000"/>
          <w:sz w:val="24"/>
        </w:rPr>
        <w:t>双方应当按照国家的有关规定，向相应部门缴纳因该商品房买卖发生的税费。因预测面积与实测面积差异，导致买受人不能享受税收优惠政策而增加的税收负担，由</w:t>
      </w:r>
      <w:r>
        <w:rPr>
          <w:rFonts w:ascii="宋体" w:hAnsi="宋体" w:eastAsia="宋体" w:cs="宋体"/>
          <w:color w:val="000000"/>
          <w:sz w:val="24"/>
          <w:u w:val="single"/>
        </w:rPr>
        <w:t xml:space="preserve">   买受人  </w:t>
      </w:r>
      <w:r>
        <w:rPr>
          <w:rFonts w:ascii="宋体" w:hAnsi="宋体" w:eastAsia="宋体" w:cs="宋体"/>
          <w:color w:val="000000"/>
          <w:sz w:val="24"/>
        </w:rPr>
        <w:t>承担。</w:t>
      </w:r>
    </w:p>
    <w:p w14:paraId="2323F317">
      <w:pPr>
        <w:spacing w:line="300" w:lineRule="auto"/>
        <w:ind w:firstLine="482" w:firstLineChars="200"/>
      </w:pPr>
      <w:r>
        <w:rPr>
          <w:rFonts w:ascii="宋体" w:hAnsi="宋体" w:eastAsia="宋体" w:cs="宋体"/>
          <w:b/>
          <w:color w:val="000000"/>
          <w:sz w:val="24"/>
        </w:rPr>
        <w:t>第二十四条 销售和使用承诺</w:t>
      </w:r>
    </w:p>
    <w:p w14:paraId="6AC7B85B">
      <w:pPr>
        <w:tabs>
          <w:tab w:val="left" w:pos="1515"/>
        </w:tabs>
        <w:spacing w:line="300" w:lineRule="auto"/>
        <w:ind w:firstLine="480" w:firstLineChars="200"/>
      </w:pPr>
      <w:r>
        <w:rPr>
          <w:rFonts w:ascii="宋体" w:hAnsi="宋体" w:eastAsia="宋体" w:cs="宋体"/>
          <w:color w:val="000000"/>
          <w:sz w:val="24"/>
        </w:rPr>
        <w:t xml:space="preserve">1．出卖人承诺不采取分割拆零销售、返本销售或者变相返本销售的方式销售商品房；不采取售后包租或者变相售后包租的方式销售未竣工商品房。 </w:t>
      </w:r>
    </w:p>
    <w:p w14:paraId="445D7C35">
      <w:pPr>
        <w:spacing w:line="300" w:lineRule="auto"/>
        <w:ind w:firstLine="480" w:firstLineChars="200"/>
      </w:pPr>
      <w:r>
        <w:rPr>
          <w:rFonts w:ascii="宋体" w:hAnsi="宋体" w:eastAsia="宋体" w:cs="宋体"/>
          <w:color w:val="000000"/>
          <w:sz w:val="24"/>
        </w:rPr>
        <w:t xml:space="preserve">2.出卖人承诺按照规划用途进行建设和出售，不擅自改变该商品房使用性质，并按照规划用途办理房屋登记。出卖人不得擅自改变与该商品房有关的共用部位和设施 的使用性质。 </w:t>
      </w:r>
    </w:p>
    <w:p w14:paraId="4BC90304">
      <w:pPr>
        <w:spacing w:line="300" w:lineRule="auto"/>
        <w:ind w:firstLine="480" w:firstLineChars="200"/>
      </w:pPr>
      <w:r>
        <w:rPr>
          <w:rFonts w:ascii="宋体" w:hAnsi="宋体" w:eastAsia="宋体" w:cs="宋体"/>
          <w:color w:val="000000"/>
          <w:sz w:val="24"/>
        </w:rPr>
        <w:t xml:space="preserve">3.出卖人承诺对商品房的销售，不涉及依法或者依规划属于买受人共有的共用部位和设施的处分。 </w:t>
      </w:r>
    </w:p>
    <w:p w14:paraId="0E1CBD66">
      <w:pPr>
        <w:spacing w:line="300" w:lineRule="auto"/>
        <w:ind w:firstLine="480" w:firstLineChars="200"/>
      </w:pPr>
      <w:r>
        <w:rPr>
          <w:rFonts w:ascii="宋体" w:hAnsi="宋体" w:eastAsia="宋体" w:cs="宋体"/>
          <w:color w:val="000000"/>
          <w:sz w:val="24"/>
        </w:rPr>
        <w:t xml:space="preserve">4.出卖人承诺已将遮挡或妨碍房屋正常使用的情况告知买受人。具体内容见附件十。 </w:t>
      </w:r>
    </w:p>
    <w:p w14:paraId="1A67568E">
      <w:pPr>
        <w:spacing w:line="300" w:lineRule="auto"/>
        <w:ind w:firstLine="480" w:firstLineChars="200"/>
      </w:pPr>
      <w:r>
        <w:rPr>
          <w:rFonts w:ascii="宋体" w:hAnsi="宋体" w:eastAsia="宋体" w:cs="宋体"/>
          <w:color w:val="000000"/>
          <w:sz w:val="24"/>
        </w:rPr>
        <w:t xml:space="preserve">5.买受人使用该商品房期间，不得擅自改变该商品房的用途、建筑主体结构和承重结构。 </w:t>
      </w:r>
    </w:p>
    <w:p w14:paraId="37B6C915">
      <w:pPr>
        <w:spacing w:line="400" w:lineRule="exact"/>
        <w:ind w:firstLine="480" w:firstLineChars="200"/>
      </w:pPr>
      <w:r>
        <w:rPr>
          <w:rFonts w:ascii="宋体" w:hAnsi="宋体" w:eastAsia="宋体" w:cs="宋体"/>
          <w:color w:val="000000"/>
          <w:sz w:val="24"/>
        </w:rPr>
        <w:t xml:space="preserve">6. </w:t>
      </w:r>
      <w:r>
        <w:rPr>
          <w:rFonts w:ascii="宋体" w:hAnsi="宋体" w:eastAsia="宋体" w:cs="宋体"/>
          <w:color w:val="000000"/>
          <w:sz w:val="24"/>
          <w:u w:val="single"/>
        </w:rPr>
        <w:t>合同第六条约定的房价款中不包括如下费用:（1）物业服务费与物业专项维修资金；（2）电视、网络、电话、燃气、峰谷电表等开通费用；（3）按规定应由买受人缴纳的税、费（包括合同印花税、契税等）及预告登记等其他费用</w:t>
      </w:r>
      <w:r>
        <w:rPr>
          <w:rFonts w:ascii="宋体" w:hAnsi="宋体" w:eastAsia="宋体" w:cs="宋体"/>
          <w:color w:val="000000"/>
          <w:sz w:val="24"/>
        </w:rPr>
        <w:t>。</w:t>
      </w:r>
    </w:p>
    <w:p w14:paraId="72FAD407">
      <w:pPr>
        <w:spacing w:line="400" w:lineRule="exact"/>
        <w:ind w:firstLine="480" w:firstLineChars="200"/>
      </w:pPr>
      <w:r>
        <w:rPr>
          <w:rFonts w:ascii="宋体" w:hAnsi="宋体" w:eastAsia="宋体" w:cs="宋体"/>
          <w:color w:val="000000"/>
          <w:sz w:val="24"/>
        </w:rPr>
        <w:t>7.</w:t>
      </w:r>
      <w:r>
        <w:rPr>
          <w:rFonts w:ascii="宋体" w:hAnsi="宋体" w:eastAsia="宋体" w:cs="宋体"/>
          <w:color w:val="000000"/>
          <w:sz w:val="24"/>
          <w:u w:val="single"/>
        </w:rPr>
        <w:t xml:space="preserve"> 买受人确认：在双方签署本合同前，出卖人在销售现场公示了《商品房销售管理办法》、《城市商品房预售管理办法》、《商品房买卖合同》以及补充协议、《阳光公示》、《建筑节能信息公示》、《管理规约》（包括临时管理规约）、《前期物业服务协议》等文本</w:t>
      </w:r>
      <w:r>
        <w:rPr>
          <w:rFonts w:ascii="宋体" w:hAnsi="宋体" w:eastAsia="宋体" w:cs="宋体"/>
          <w:color w:val="000000"/>
          <w:sz w:val="24"/>
        </w:rPr>
        <w:t>。</w:t>
      </w:r>
    </w:p>
    <w:p w14:paraId="0DE4026C">
      <w:pPr>
        <w:spacing w:line="300" w:lineRule="auto"/>
        <w:ind w:firstLine="480" w:firstLineChars="200"/>
      </w:pPr>
      <w:r>
        <w:rPr>
          <w:rFonts w:ascii="宋体" w:hAnsi="宋体" w:eastAsia="宋体" w:cs="宋体"/>
          <w:color w:val="000000"/>
          <w:sz w:val="24"/>
        </w:rPr>
        <w:t> </w:t>
      </w:r>
    </w:p>
    <w:p w14:paraId="1626FDFF">
      <w:pPr>
        <w:spacing w:line="300" w:lineRule="auto"/>
        <w:ind w:firstLine="482" w:firstLineChars="200"/>
      </w:pPr>
      <w:r>
        <w:rPr>
          <w:rFonts w:ascii="宋体" w:hAnsi="宋体" w:eastAsia="宋体" w:cs="宋体"/>
          <w:b/>
          <w:color w:val="000000"/>
          <w:sz w:val="24"/>
        </w:rPr>
        <w:t>第二十五条 送达</w:t>
      </w:r>
    </w:p>
    <w:p w14:paraId="0A7555E1">
      <w:pPr>
        <w:spacing w:line="300" w:lineRule="auto"/>
        <w:ind w:firstLine="480" w:firstLineChars="200"/>
      </w:pPr>
      <w:r>
        <w:rPr>
          <w:rFonts w:ascii="宋体" w:hAnsi="宋体" w:eastAsia="宋体" w:cs="宋体"/>
          <w:color w:val="000000"/>
          <w:sz w:val="24"/>
        </w:rPr>
        <w:t>出卖人和买受人保证在本合同中记载的通讯地址、联系电话均真实有效。任何根据本合同发出的文件，均应采用书面形式，以【 邮政快递 】方式送达对方。任何一方变更通讯地址、联系电话的，应在变更之日起</w:t>
      </w:r>
      <w:r>
        <w:rPr>
          <w:rFonts w:ascii="宋体" w:hAnsi="宋体" w:eastAsia="宋体" w:cs="宋体"/>
          <w:color w:val="000000"/>
          <w:sz w:val="24"/>
          <w:u w:val="single"/>
        </w:rPr>
        <w:t xml:space="preserve">   7   </w:t>
      </w:r>
      <w:r>
        <w:rPr>
          <w:rFonts w:ascii="宋体" w:hAnsi="宋体" w:eastAsia="宋体" w:cs="宋体"/>
          <w:color w:val="000000"/>
          <w:sz w:val="24"/>
        </w:rPr>
        <w:t>日内书面通知对方。变更的一方未履行通知义务导致送达不能的，应承担相应的法律责任。</w:t>
      </w:r>
    </w:p>
    <w:p w14:paraId="76E47A98">
      <w:pPr>
        <w:spacing w:line="300" w:lineRule="auto"/>
        <w:ind w:firstLine="482" w:firstLineChars="200"/>
      </w:pPr>
      <w:r>
        <w:rPr>
          <w:rFonts w:ascii="宋体" w:hAnsi="宋体" w:eastAsia="宋体" w:cs="宋体"/>
          <w:b/>
          <w:color w:val="000000"/>
          <w:sz w:val="24"/>
        </w:rPr>
        <w:t xml:space="preserve">第二十六条 买受人信息保护 </w:t>
      </w:r>
    </w:p>
    <w:p w14:paraId="2CF9ACCD">
      <w:pPr>
        <w:spacing w:line="300" w:lineRule="auto"/>
        <w:ind w:firstLine="480" w:firstLineChars="200"/>
      </w:pPr>
      <w:r>
        <w:rPr>
          <w:rFonts w:ascii="宋体" w:hAnsi="宋体" w:eastAsia="宋体" w:cs="宋体"/>
          <w:color w:val="000000"/>
          <w:sz w:val="24"/>
        </w:rPr>
        <w:t>出卖人对买受人信息负有保密义务。非因法律、法规规定或国家安全机关、公安机关、检察机关、审判机关、纪检监察部门执行公务的需要，未经买受人书面同意，出卖人及其销售人员和相关工作人员不得对外披露买受人信息，或将买受人信息用于履行本合同之外的其他用途。</w:t>
      </w:r>
    </w:p>
    <w:p w14:paraId="2D2B0204">
      <w:pPr>
        <w:spacing w:line="300" w:lineRule="auto"/>
        <w:ind w:firstLine="482" w:firstLineChars="200"/>
      </w:pPr>
      <w:r>
        <w:rPr>
          <w:rFonts w:ascii="宋体" w:hAnsi="宋体" w:eastAsia="宋体" w:cs="宋体"/>
          <w:b/>
          <w:color w:val="000000"/>
          <w:sz w:val="24"/>
        </w:rPr>
        <w:t>第二十七条 争议解决方式</w:t>
      </w:r>
    </w:p>
    <w:p w14:paraId="12A3AF9F">
      <w:pPr>
        <w:spacing w:line="300" w:lineRule="auto"/>
        <w:ind w:firstLine="480" w:firstLineChars="200"/>
      </w:pPr>
      <w:r>
        <w:rPr>
          <w:rFonts w:ascii="宋体" w:hAnsi="宋体" w:eastAsia="宋体" w:cs="宋体"/>
          <w:color w:val="000000"/>
          <w:sz w:val="24"/>
        </w:rPr>
        <w:t>本合同在履行过程中发生的争议，由双方当事人协商解决，也可通过消费者协会等相关机构调解；或按照下列第</w:t>
      </w:r>
      <w:r>
        <w:rPr>
          <w:rFonts w:ascii="宋体" w:hAnsi="宋体" w:eastAsia="宋体" w:cs="宋体"/>
          <w:color w:val="000000"/>
          <w:sz w:val="24"/>
          <w:u w:val="single"/>
        </w:rPr>
        <w:t xml:space="preserve">   1   </w:t>
      </w:r>
      <w:r>
        <w:rPr>
          <w:rFonts w:ascii="宋体" w:hAnsi="宋体" w:eastAsia="宋体" w:cs="宋体"/>
          <w:color w:val="000000"/>
          <w:sz w:val="24"/>
        </w:rPr>
        <w:t>种方式解决：</w:t>
      </w:r>
    </w:p>
    <w:p w14:paraId="4168AA8C">
      <w:pPr>
        <w:spacing w:line="300" w:lineRule="auto"/>
        <w:ind w:firstLine="480" w:firstLineChars="200"/>
      </w:pPr>
      <w:r>
        <w:rPr>
          <w:color w:val="000000"/>
          <w:sz w:val="24"/>
        </w:rPr>
        <w:t>1.</w:t>
      </w:r>
      <w:r>
        <w:rPr>
          <w:rFonts w:ascii="宋体" w:hAnsi="宋体" w:eastAsia="宋体" w:cs="宋体"/>
          <w:color w:val="000000"/>
          <w:sz w:val="24"/>
        </w:rPr>
        <w:t>依法向房屋所在地人民法院起诉。</w:t>
      </w:r>
    </w:p>
    <w:p w14:paraId="117350BC">
      <w:pPr>
        <w:spacing w:line="300" w:lineRule="auto"/>
        <w:ind w:firstLine="480" w:firstLineChars="200"/>
      </w:pPr>
      <w:r>
        <w:rPr>
          <w:color w:val="000000"/>
          <w:sz w:val="24"/>
        </w:rPr>
        <w:t>2.</w:t>
      </w:r>
      <w:r>
        <w:rPr>
          <w:rFonts w:ascii="宋体" w:hAnsi="宋体" w:eastAsia="宋体" w:cs="宋体"/>
          <w:color w:val="000000"/>
          <w:sz w:val="24"/>
        </w:rPr>
        <w:t>提交</w:t>
      </w:r>
      <w:r>
        <w:rPr>
          <w:rFonts w:ascii="宋体" w:hAnsi="宋体" w:eastAsia="宋体" w:cs="宋体"/>
          <w:color w:val="000000"/>
          <w:sz w:val="24"/>
          <w:u w:val="single"/>
        </w:rPr>
        <w:t xml:space="preserve">    /      </w:t>
      </w:r>
      <w:r>
        <w:rPr>
          <w:rFonts w:ascii="宋体" w:hAnsi="宋体" w:eastAsia="宋体" w:cs="宋体"/>
          <w:color w:val="000000"/>
          <w:sz w:val="24"/>
        </w:rPr>
        <w:t>仲裁委员会仲裁。</w:t>
      </w:r>
    </w:p>
    <w:p w14:paraId="6A6F6DD8">
      <w:pPr>
        <w:spacing w:line="300" w:lineRule="auto"/>
        <w:ind w:firstLine="482" w:firstLineChars="200"/>
      </w:pPr>
      <w:r>
        <w:rPr>
          <w:rFonts w:ascii="宋体" w:hAnsi="宋体" w:eastAsia="宋体" w:cs="宋体"/>
          <w:b/>
          <w:color w:val="000000"/>
          <w:sz w:val="24"/>
        </w:rPr>
        <w:t xml:space="preserve">第二十八条 补充协议 </w:t>
      </w:r>
    </w:p>
    <w:p w14:paraId="589AF9C9">
      <w:pPr>
        <w:spacing w:line="300" w:lineRule="auto"/>
        <w:ind w:firstLine="480" w:firstLineChars="200"/>
      </w:pPr>
      <w:r>
        <w:rPr>
          <w:rFonts w:ascii="宋体" w:hAnsi="宋体" w:eastAsia="宋体" w:cs="宋体"/>
          <w:color w:val="000000"/>
          <w:sz w:val="24"/>
        </w:rPr>
        <w:t xml:space="preserve">对本合同中未约定或约定不明的内容，双方可根据具体情况签订书面补充协议（补充协议见附件十一）。 </w:t>
      </w:r>
    </w:p>
    <w:p w14:paraId="48002A42">
      <w:pPr>
        <w:spacing w:line="300" w:lineRule="auto"/>
        <w:ind w:firstLine="480" w:firstLineChars="200"/>
      </w:pPr>
      <w:r>
        <w:rPr>
          <w:rFonts w:ascii="宋体" w:hAnsi="宋体" w:eastAsia="宋体" w:cs="宋体"/>
          <w:color w:val="000000"/>
          <w:sz w:val="24"/>
        </w:rPr>
        <w:t>补充协议中含有不合理的减轻或免除本合同中约定应当由出卖人承担的责任，或不合理的加重买受人责任、排除买受人主要权利内容的，仍以本合同为准。</w:t>
      </w:r>
    </w:p>
    <w:p w14:paraId="3FFA47A6">
      <w:pPr>
        <w:spacing w:line="300" w:lineRule="auto"/>
        <w:ind w:firstLine="482" w:firstLineChars="200"/>
      </w:pPr>
      <w:r>
        <w:rPr>
          <w:rFonts w:ascii="宋体" w:hAnsi="宋体" w:eastAsia="宋体" w:cs="宋体"/>
          <w:b/>
          <w:color w:val="000000"/>
          <w:sz w:val="24"/>
        </w:rPr>
        <w:t>第二十九条 合同生效</w:t>
      </w:r>
    </w:p>
    <w:p w14:paraId="75035D22">
      <w:pPr>
        <w:spacing w:line="300" w:lineRule="auto"/>
        <w:ind w:firstLine="480" w:firstLineChars="200"/>
      </w:pPr>
      <w:r>
        <w:rPr>
          <w:rFonts w:ascii="宋体" w:hAnsi="宋体" w:eastAsia="宋体" w:cs="宋体"/>
          <w:color w:val="000000"/>
          <w:sz w:val="24"/>
        </w:rPr>
        <w:t>本合同自双方签字或盖章之日起生效。本合同的解除应当采用书面形式。</w:t>
      </w:r>
    </w:p>
    <w:p w14:paraId="031E17A1">
      <w:pPr>
        <w:spacing w:line="300" w:lineRule="auto"/>
        <w:ind w:firstLine="480" w:firstLineChars="200"/>
      </w:pPr>
      <w:r>
        <w:rPr>
          <w:rFonts w:ascii="宋体" w:hAnsi="宋体" w:eastAsia="宋体" w:cs="宋体"/>
          <w:color w:val="000000"/>
          <w:sz w:val="24"/>
        </w:rPr>
        <w:t>本合同及附件共</w:t>
      </w:r>
      <w:r>
        <w:rPr>
          <w:rFonts w:ascii="宋体" w:hAnsi="宋体" w:eastAsia="宋体" w:cs="宋体"/>
          <w:color w:val="000000"/>
          <w:sz w:val="24"/>
          <w:u w:val="single"/>
        </w:rPr>
        <w:t xml:space="preserve"> 42  </w:t>
      </w:r>
      <w:r>
        <w:rPr>
          <w:rFonts w:ascii="宋体" w:hAnsi="宋体" w:eastAsia="宋体" w:cs="宋体"/>
          <w:color w:val="000000"/>
          <w:sz w:val="24"/>
        </w:rPr>
        <w:t>页，一式</w:t>
      </w:r>
      <w:r>
        <w:rPr>
          <w:rFonts w:ascii="宋体" w:hAnsi="宋体" w:eastAsia="宋体" w:cs="宋体"/>
          <w:color w:val="000000"/>
          <w:sz w:val="24"/>
          <w:u w:val="single"/>
        </w:rPr>
        <w:t xml:space="preserve">   叁   </w:t>
      </w:r>
      <w:r>
        <w:rPr>
          <w:rFonts w:ascii="宋体" w:hAnsi="宋体" w:eastAsia="宋体" w:cs="宋体"/>
          <w:color w:val="000000"/>
          <w:sz w:val="24"/>
        </w:rPr>
        <w:t xml:space="preserve"> 份，其中出卖人</w:t>
      </w:r>
      <w:r>
        <w:rPr>
          <w:rFonts w:ascii="宋体" w:hAnsi="宋体" w:eastAsia="宋体" w:cs="宋体"/>
          <w:color w:val="000000"/>
          <w:sz w:val="24"/>
          <w:u w:val="single"/>
        </w:rPr>
        <w:t xml:space="preserve">  贰 </w:t>
      </w:r>
      <w:r>
        <w:rPr>
          <w:rFonts w:ascii="宋体" w:hAnsi="宋体" w:eastAsia="宋体" w:cs="宋体"/>
          <w:color w:val="000000"/>
          <w:sz w:val="24"/>
        </w:rPr>
        <w:t>份，买受人</w:t>
      </w:r>
      <w:r>
        <w:rPr>
          <w:rFonts w:ascii="宋体" w:hAnsi="宋体" w:eastAsia="宋体" w:cs="宋体"/>
          <w:color w:val="000000"/>
          <w:sz w:val="24"/>
          <w:u w:val="single"/>
        </w:rPr>
        <w:t xml:space="preserve"> 壹   </w:t>
      </w:r>
      <w:r>
        <w:rPr>
          <w:rFonts w:ascii="宋体" w:hAnsi="宋体" w:eastAsia="宋体" w:cs="宋体"/>
          <w:color w:val="000000"/>
          <w:sz w:val="24"/>
        </w:rPr>
        <w:t>份，</w:t>
      </w:r>
      <w:r>
        <w:rPr>
          <w:rFonts w:ascii="宋体" w:hAnsi="宋体" w:eastAsia="宋体" w:cs="宋体"/>
          <w:color w:val="000000"/>
          <w:sz w:val="24"/>
          <w:u w:val="single"/>
        </w:rPr>
        <w:t>不动产登记中心/份</w:t>
      </w:r>
      <w:r>
        <w:rPr>
          <w:rFonts w:ascii="宋体" w:hAnsi="宋体" w:eastAsia="宋体" w:cs="宋体"/>
          <w:color w:val="000000"/>
          <w:sz w:val="24"/>
        </w:rPr>
        <w:t>，</w:t>
      </w:r>
      <w:r>
        <w:rPr>
          <w:rFonts w:ascii="宋体" w:hAnsi="宋体" w:eastAsia="宋体" w:cs="宋体"/>
          <w:color w:val="000000"/>
          <w:sz w:val="24"/>
          <w:u w:val="single"/>
        </w:rPr>
        <w:t xml:space="preserve">银行  /  </w:t>
      </w:r>
      <w:r>
        <w:rPr>
          <w:rFonts w:ascii="宋体" w:hAnsi="宋体" w:eastAsia="宋体" w:cs="宋体"/>
          <w:color w:val="000000"/>
          <w:sz w:val="24"/>
        </w:rPr>
        <w:t>份。合同附件与本合同具有同等法律效力。</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5"/>
        <w:gridCol w:w="960"/>
        <w:gridCol w:w="240"/>
        <w:gridCol w:w="480"/>
        <w:gridCol w:w="240"/>
        <w:gridCol w:w="480"/>
        <w:gridCol w:w="240"/>
        <w:gridCol w:w="1920"/>
        <w:gridCol w:w="2640"/>
      </w:tblGrid>
      <w:tr w14:paraId="06631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1" w:hRule="atLeast"/>
        </w:trPr>
        <w:tc>
          <w:tcPr>
            <w:tcW w:w="3915" w:type="dxa"/>
            <w:gridSpan w:val="7"/>
            <w:tcBorders>
              <w:top w:val="single" w:color="000000" w:sz="0" w:space="0"/>
              <w:left w:val="single" w:color="000000" w:sz="0" w:space="0"/>
              <w:bottom w:val="single" w:color="000000" w:sz="0" w:space="0"/>
              <w:right w:val="single" w:color="000000" w:sz="0" w:space="0"/>
            </w:tcBorders>
            <w:tcMar>
              <w:top w:w="0" w:type="dxa"/>
              <w:left w:w="0" w:type="dxa"/>
              <w:bottom w:w="0" w:type="dxa"/>
              <w:right w:w="0" w:type="dxa"/>
            </w:tcMar>
            <w:vAlign w:val="bottom"/>
          </w:tcPr>
          <w:p w14:paraId="138AB92D">
            <w:pPr>
              <w:spacing w:line="300" w:lineRule="auto"/>
              <w:jc w:val="left"/>
              <w:rPr>
                <w:rFonts w:asciiTheme="minorHAnsi" w:hAnsiTheme="minorHAnsi" w:cstheme="minorBidi"/>
                <w:szCs w:val="22"/>
              </w:rPr>
            </w:pPr>
            <w:r>
              <w:rPr>
                <w:rFonts w:ascii="宋体" w:hAnsi="宋体" w:eastAsia="宋体" w:cs="宋体"/>
                <w:color w:val="000000"/>
                <w:sz w:val="24"/>
                <w:szCs w:val="22"/>
              </w:rPr>
              <w:t>出卖人（签字或盖章）：</w:t>
            </w:r>
          </w:p>
        </w:tc>
        <w:tc>
          <w:tcPr>
            <w:tcW w:w="4560" w:type="dxa"/>
            <w:gridSpan w:val="2"/>
            <w:tcBorders>
              <w:top w:val="single" w:color="000000" w:sz="0" w:space="0"/>
              <w:left w:val="single" w:color="000000" w:sz="0" w:space="0"/>
              <w:bottom w:val="single" w:color="000000" w:sz="0" w:space="0"/>
              <w:right w:val="single" w:color="000000" w:sz="0" w:space="0"/>
            </w:tcBorders>
            <w:tcMar>
              <w:top w:w="0" w:type="dxa"/>
              <w:left w:w="0" w:type="dxa"/>
              <w:bottom w:w="0" w:type="dxa"/>
              <w:right w:w="0" w:type="dxa"/>
            </w:tcMar>
            <w:vAlign w:val="bottom"/>
          </w:tcPr>
          <w:p w14:paraId="1F69AB1F">
            <w:pPr>
              <w:spacing w:line="300" w:lineRule="auto"/>
              <w:ind w:firstLine="720" w:firstLineChars="300"/>
              <w:jc w:val="left"/>
              <w:rPr>
                <w:rFonts w:asciiTheme="minorHAnsi" w:hAnsiTheme="minorHAnsi" w:cstheme="minorBidi"/>
                <w:szCs w:val="22"/>
              </w:rPr>
            </w:pPr>
            <w:r>
              <w:rPr>
                <w:rFonts w:ascii="宋体" w:hAnsi="宋体" w:eastAsia="宋体" w:cs="宋体"/>
                <w:color w:val="000000"/>
                <w:sz w:val="24"/>
                <w:szCs w:val="22"/>
              </w:rPr>
              <w:t>买受人（签字或盖章）：</w:t>
            </w:r>
          </w:p>
        </w:tc>
      </w:tr>
      <w:tr w14:paraId="1C57A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915" w:type="dxa"/>
            <w:gridSpan w:val="7"/>
            <w:tcBorders>
              <w:top w:val="single" w:color="000000" w:sz="0" w:space="0"/>
              <w:left w:val="single" w:color="000000" w:sz="0" w:space="0"/>
              <w:bottom w:val="single" w:color="000000" w:sz="0" w:space="0"/>
              <w:right w:val="single" w:color="000000" w:sz="0" w:space="0"/>
            </w:tcBorders>
            <w:tcMar>
              <w:top w:w="0" w:type="dxa"/>
              <w:left w:w="0" w:type="dxa"/>
              <w:bottom w:w="0" w:type="dxa"/>
              <w:right w:w="0" w:type="dxa"/>
            </w:tcMar>
            <w:vAlign w:val="bottom"/>
          </w:tcPr>
          <w:p w14:paraId="6CD6CF05">
            <w:pPr>
              <w:spacing w:line="300" w:lineRule="auto"/>
              <w:jc w:val="left"/>
              <w:rPr>
                <w:rFonts w:asciiTheme="minorHAnsi" w:hAnsiTheme="minorHAnsi" w:cstheme="minorBidi"/>
                <w:szCs w:val="22"/>
              </w:rPr>
            </w:pPr>
            <w:r>
              <w:rPr>
                <w:rFonts w:ascii="宋体" w:hAnsi="宋体" w:eastAsia="宋体" w:cs="宋体"/>
                <w:color w:val="000000"/>
                <w:sz w:val="24"/>
                <w:szCs w:val="22"/>
              </w:rPr>
              <w:t>【法定代表人】（签字或盖章）：</w:t>
            </w:r>
          </w:p>
        </w:tc>
        <w:tc>
          <w:tcPr>
            <w:tcW w:w="4560" w:type="dxa"/>
            <w:gridSpan w:val="2"/>
            <w:tcBorders>
              <w:top w:val="single" w:color="000000" w:sz="0" w:space="0"/>
              <w:left w:val="single" w:color="000000" w:sz="0" w:space="0"/>
              <w:bottom w:val="single" w:color="000000" w:sz="0" w:space="0"/>
              <w:right w:val="single" w:color="000000" w:sz="0" w:space="0"/>
            </w:tcBorders>
            <w:tcMar>
              <w:top w:w="0" w:type="dxa"/>
              <w:left w:w="0" w:type="dxa"/>
              <w:bottom w:w="0" w:type="dxa"/>
              <w:right w:w="0" w:type="dxa"/>
            </w:tcMar>
            <w:vAlign w:val="bottom"/>
          </w:tcPr>
          <w:p w14:paraId="171FB75B">
            <w:pPr>
              <w:spacing w:line="300" w:lineRule="auto"/>
              <w:ind w:left="640"/>
              <w:jc w:val="left"/>
              <w:rPr>
                <w:rFonts w:asciiTheme="minorHAnsi" w:hAnsiTheme="minorHAnsi" w:cstheme="minorBidi"/>
                <w:szCs w:val="22"/>
              </w:rPr>
            </w:pPr>
            <w:r>
              <w:rPr>
                <w:rFonts w:ascii="宋体" w:hAnsi="宋体" w:eastAsia="宋体" w:cs="宋体"/>
                <w:color w:val="000000"/>
                <w:sz w:val="24"/>
                <w:szCs w:val="22"/>
              </w:rPr>
              <w:t>【法定代表人】（签字或盖章）：</w:t>
            </w:r>
          </w:p>
        </w:tc>
      </w:tr>
      <w:tr w14:paraId="269B7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915" w:type="dxa"/>
            <w:gridSpan w:val="7"/>
            <w:tcBorders>
              <w:top w:val="single" w:color="000000" w:sz="0" w:space="0"/>
              <w:left w:val="single" w:color="000000" w:sz="0" w:space="0"/>
              <w:bottom w:val="single" w:color="000000" w:sz="0" w:space="0"/>
              <w:right w:val="single" w:color="000000" w:sz="0" w:space="0"/>
            </w:tcBorders>
            <w:tcMar>
              <w:top w:w="0" w:type="dxa"/>
              <w:left w:w="0" w:type="dxa"/>
              <w:bottom w:w="0" w:type="dxa"/>
              <w:right w:w="0" w:type="dxa"/>
            </w:tcMar>
            <w:vAlign w:val="bottom"/>
          </w:tcPr>
          <w:p w14:paraId="22808960">
            <w:pPr>
              <w:spacing w:line="300" w:lineRule="auto"/>
              <w:jc w:val="left"/>
              <w:rPr>
                <w:rFonts w:asciiTheme="minorHAnsi" w:hAnsiTheme="minorHAnsi" w:cstheme="minorBidi"/>
                <w:szCs w:val="22"/>
              </w:rPr>
            </w:pPr>
            <w:r>
              <w:rPr>
                <w:rFonts w:ascii="宋体" w:hAnsi="宋体" w:eastAsia="宋体" w:cs="宋体"/>
                <w:color w:val="000000"/>
                <w:sz w:val="24"/>
                <w:szCs w:val="22"/>
              </w:rPr>
              <w:t>【委托代理人】（签字或盖章）：</w:t>
            </w:r>
          </w:p>
        </w:tc>
        <w:tc>
          <w:tcPr>
            <w:tcW w:w="4560" w:type="dxa"/>
            <w:gridSpan w:val="2"/>
            <w:tcBorders>
              <w:top w:val="single" w:color="000000" w:sz="0" w:space="0"/>
              <w:left w:val="single" w:color="000000" w:sz="0" w:space="0"/>
              <w:bottom w:val="single" w:color="000000" w:sz="0" w:space="0"/>
              <w:right w:val="single" w:color="000000" w:sz="0" w:space="0"/>
            </w:tcBorders>
            <w:tcMar>
              <w:top w:w="0" w:type="dxa"/>
              <w:left w:w="0" w:type="dxa"/>
              <w:bottom w:w="0" w:type="dxa"/>
              <w:right w:w="0" w:type="dxa"/>
            </w:tcMar>
            <w:vAlign w:val="bottom"/>
          </w:tcPr>
          <w:p w14:paraId="2875DB80">
            <w:pPr>
              <w:spacing w:line="300" w:lineRule="auto"/>
              <w:ind w:left="640"/>
              <w:jc w:val="left"/>
              <w:rPr>
                <w:rFonts w:asciiTheme="minorHAnsi" w:hAnsiTheme="minorHAnsi" w:cstheme="minorBidi"/>
                <w:szCs w:val="22"/>
              </w:rPr>
            </w:pPr>
            <w:r>
              <w:rPr>
                <w:rFonts w:ascii="宋体" w:hAnsi="宋体" w:eastAsia="宋体" w:cs="宋体"/>
                <w:color w:val="000000"/>
                <w:sz w:val="24"/>
                <w:szCs w:val="22"/>
              </w:rPr>
              <w:t>【委托代理人】（签字或盖章）：</w:t>
            </w:r>
          </w:p>
        </w:tc>
      </w:tr>
      <w:tr w14:paraId="4ADE6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275" w:type="dxa"/>
            <w:tcBorders>
              <w:top w:val="single" w:color="000000" w:sz="0" w:space="0"/>
              <w:left w:val="single" w:color="000000" w:sz="0" w:space="0"/>
              <w:bottom w:val="single" w:color="000000" w:sz="0" w:space="0"/>
              <w:right w:val="single" w:color="000000" w:sz="0" w:space="0"/>
            </w:tcBorders>
            <w:tcMar>
              <w:top w:w="0" w:type="dxa"/>
              <w:left w:w="0" w:type="dxa"/>
              <w:bottom w:w="0" w:type="dxa"/>
              <w:right w:w="0" w:type="dxa"/>
            </w:tcMar>
            <w:vAlign w:val="bottom"/>
          </w:tcPr>
          <w:p w14:paraId="182B340A">
            <w:pPr>
              <w:spacing w:line="300" w:lineRule="auto"/>
              <w:jc w:val="left"/>
              <w:rPr>
                <w:rFonts w:asciiTheme="minorHAnsi" w:hAnsiTheme="minorHAnsi" w:cstheme="minorBidi"/>
                <w:szCs w:val="22"/>
              </w:rPr>
            </w:pPr>
            <w:r>
              <w:rPr>
                <w:rFonts w:ascii="宋体" w:hAnsi="宋体" w:eastAsia="宋体" w:cs="宋体"/>
                <w:color w:val="000000"/>
                <w:sz w:val="24"/>
                <w:szCs w:val="22"/>
              </w:rPr>
              <w:t> </w:t>
            </w:r>
          </w:p>
        </w:tc>
        <w:tc>
          <w:tcPr>
            <w:tcW w:w="960" w:type="dxa"/>
            <w:tcBorders>
              <w:top w:val="single" w:color="000000" w:sz="0" w:space="0"/>
              <w:left w:val="single" w:color="000000" w:sz="0" w:space="0"/>
              <w:bottom w:val="single" w:color="000000" w:sz="0" w:space="0"/>
              <w:right w:val="single" w:color="000000" w:sz="0" w:space="0"/>
            </w:tcBorders>
            <w:tcMar>
              <w:top w:w="0" w:type="dxa"/>
              <w:left w:w="0" w:type="dxa"/>
              <w:bottom w:w="0" w:type="dxa"/>
              <w:right w:w="0" w:type="dxa"/>
            </w:tcMar>
            <w:vAlign w:val="bottom"/>
          </w:tcPr>
          <w:p w14:paraId="1186A4C6">
            <w:pPr>
              <w:spacing w:line="300" w:lineRule="auto"/>
              <w:jc w:val="left"/>
              <w:rPr>
                <w:rFonts w:asciiTheme="minorHAnsi" w:hAnsiTheme="minorHAnsi" w:cstheme="minorBidi"/>
                <w:szCs w:val="22"/>
              </w:rPr>
            </w:pPr>
            <w:r>
              <w:rPr>
                <w:rFonts w:ascii="宋体" w:hAnsi="宋体" w:eastAsia="宋体" w:cs="宋体"/>
                <w:color w:val="000000"/>
                <w:sz w:val="24"/>
                <w:szCs w:val="22"/>
              </w:rPr>
              <w:t> </w:t>
            </w:r>
          </w:p>
        </w:tc>
        <w:tc>
          <w:tcPr>
            <w:tcW w:w="240" w:type="dxa"/>
            <w:tcBorders>
              <w:top w:val="single" w:color="000000" w:sz="0" w:space="0"/>
              <w:left w:val="single" w:color="000000" w:sz="0" w:space="0"/>
              <w:bottom w:val="single" w:color="000000" w:sz="0" w:space="0"/>
              <w:right w:val="single" w:color="000000" w:sz="0" w:space="0"/>
            </w:tcBorders>
            <w:tcMar>
              <w:top w:w="0" w:type="dxa"/>
              <w:left w:w="0" w:type="dxa"/>
              <w:bottom w:w="0" w:type="dxa"/>
              <w:right w:w="0" w:type="dxa"/>
            </w:tcMar>
            <w:vAlign w:val="bottom"/>
          </w:tcPr>
          <w:p w14:paraId="2DDEDF18">
            <w:pPr>
              <w:spacing w:line="300" w:lineRule="auto"/>
              <w:jc w:val="left"/>
              <w:rPr>
                <w:rFonts w:asciiTheme="minorHAnsi" w:hAnsiTheme="minorHAnsi" w:cstheme="minorBidi"/>
                <w:szCs w:val="22"/>
              </w:rPr>
            </w:pPr>
            <w:r>
              <w:rPr>
                <w:rFonts w:ascii="宋体" w:hAnsi="宋体" w:eastAsia="宋体" w:cs="宋体"/>
                <w:color w:val="000000"/>
                <w:sz w:val="24"/>
                <w:szCs w:val="22"/>
              </w:rPr>
              <w:t> </w:t>
            </w:r>
          </w:p>
        </w:tc>
        <w:tc>
          <w:tcPr>
            <w:tcW w:w="480" w:type="dxa"/>
            <w:tcBorders>
              <w:top w:val="single" w:color="000000" w:sz="0" w:space="0"/>
              <w:left w:val="single" w:color="000000" w:sz="0" w:space="0"/>
              <w:bottom w:val="single" w:color="000000" w:sz="0" w:space="0"/>
              <w:right w:val="single" w:color="000000" w:sz="0" w:space="0"/>
            </w:tcBorders>
            <w:tcMar>
              <w:top w:w="0" w:type="dxa"/>
              <w:left w:w="0" w:type="dxa"/>
              <w:bottom w:w="0" w:type="dxa"/>
              <w:right w:w="0" w:type="dxa"/>
            </w:tcMar>
            <w:vAlign w:val="bottom"/>
          </w:tcPr>
          <w:p w14:paraId="2B7BD240">
            <w:pPr>
              <w:spacing w:line="300" w:lineRule="auto"/>
              <w:jc w:val="left"/>
              <w:rPr>
                <w:rFonts w:asciiTheme="minorHAnsi" w:hAnsiTheme="minorHAnsi" w:cstheme="minorBidi"/>
                <w:szCs w:val="22"/>
              </w:rPr>
            </w:pPr>
            <w:r>
              <w:rPr>
                <w:rFonts w:ascii="宋体" w:hAnsi="宋体" w:eastAsia="宋体" w:cs="宋体"/>
                <w:color w:val="000000"/>
                <w:sz w:val="24"/>
                <w:szCs w:val="22"/>
              </w:rPr>
              <w:t> </w:t>
            </w:r>
          </w:p>
        </w:tc>
        <w:tc>
          <w:tcPr>
            <w:tcW w:w="240" w:type="dxa"/>
            <w:tcBorders>
              <w:top w:val="single" w:color="000000" w:sz="0" w:space="0"/>
              <w:left w:val="single" w:color="000000" w:sz="0" w:space="0"/>
              <w:bottom w:val="single" w:color="000000" w:sz="0" w:space="0"/>
              <w:right w:val="single" w:color="000000" w:sz="0" w:space="0"/>
            </w:tcBorders>
            <w:tcMar>
              <w:top w:w="0" w:type="dxa"/>
              <w:left w:w="0" w:type="dxa"/>
              <w:bottom w:w="0" w:type="dxa"/>
              <w:right w:w="0" w:type="dxa"/>
            </w:tcMar>
            <w:vAlign w:val="bottom"/>
          </w:tcPr>
          <w:p w14:paraId="4B27D554">
            <w:pPr>
              <w:spacing w:line="300" w:lineRule="auto"/>
              <w:jc w:val="left"/>
              <w:rPr>
                <w:rFonts w:asciiTheme="minorHAnsi" w:hAnsiTheme="minorHAnsi" w:cstheme="minorBidi"/>
                <w:szCs w:val="22"/>
              </w:rPr>
            </w:pPr>
            <w:r>
              <w:rPr>
                <w:rFonts w:ascii="宋体" w:hAnsi="宋体" w:eastAsia="宋体" w:cs="宋体"/>
                <w:color w:val="000000"/>
                <w:sz w:val="24"/>
                <w:szCs w:val="22"/>
              </w:rPr>
              <w:t> </w:t>
            </w:r>
          </w:p>
        </w:tc>
        <w:tc>
          <w:tcPr>
            <w:tcW w:w="480" w:type="dxa"/>
            <w:tcBorders>
              <w:top w:val="single" w:color="000000" w:sz="0" w:space="0"/>
              <w:left w:val="single" w:color="000000" w:sz="0" w:space="0"/>
              <w:bottom w:val="single" w:color="000000" w:sz="0" w:space="0"/>
              <w:right w:val="single" w:color="000000" w:sz="0" w:space="0"/>
            </w:tcBorders>
            <w:tcMar>
              <w:top w:w="0" w:type="dxa"/>
              <w:left w:w="0" w:type="dxa"/>
              <w:bottom w:w="0" w:type="dxa"/>
              <w:right w:w="0" w:type="dxa"/>
            </w:tcMar>
            <w:vAlign w:val="bottom"/>
          </w:tcPr>
          <w:p w14:paraId="7B0CBCC2">
            <w:pPr>
              <w:spacing w:line="300" w:lineRule="auto"/>
              <w:jc w:val="left"/>
              <w:rPr>
                <w:rFonts w:asciiTheme="minorHAnsi" w:hAnsiTheme="minorHAnsi" w:cstheme="minorBidi"/>
                <w:szCs w:val="22"/>
              </w:rPr>
            </w:pPr>
            <w:r>
              <w:rPr>
                <w:rFonts w:ascii="宋体" w:hAnsi="宋体" w:eastAsia="宋体" w:cs="宋体"/>
                <w:color w:val="000000"/>
                <w:sz w:val="24"/>
                <w:szCs w:val="22"/>
              </w:rPr>
              <w:t> </w:t>
            </w:r>
          </w:p>
        </w:tc>
        <w:tc>
          <w:tcPr>
            <w:tcW w:w="240" w:type="dxa"/>
            <w:tcBorders>
              <w:top w:val="single" w:color="000000" w:sz="0" w:space="0"/>
              <w:left w:val="single" w:color="000000" w:sz="0" w:space="0"/>
              <w:bottom w:val="single" w:color="000000" w:sz="0" w:space="0"/>
              <w:right w:val="single" w:color="000000" w:sz="0" w:space="0"/>
            </w:tcBorders>
            <w:tcMar>
              <w:top w:w="0" w:type="dxa"/>
              <w:left w:w="0" w:type="dxa"/>
              <w:bottom w:w="0" w:type="dxa"/>
              <w:right w:w="0" w:type="dxa"/>
            </w:tcMar>
            <w:vAlign w:val="bottom"/>
          </w:tcPr>
          <w:p w14:paraId="768BF7A6">
            <w:pPr>
              <w:spacing w:line="300" w:lineRule="auto"/>
              <w:jc w:val="left"/>
              <w:rPr>
                <w:rFonts w:asciiTheme="minorHAnsi" w:hAnsiTheme="minorHAnsi" w:cstheme="minorBidi"/>
                <w:szCs w:val="22"/>
              </w:rPr>
            </w:pPr>
            <w:r>
              <w:rPr>
                <w:rFonts w:ascii="宋体" w:hAnsi="宋体" w:eastAsia="宋体" w:cs="宋体"/>
                <w:color w:val="000000"/>
                <w:sz w:val="24"/>
                <w:szCs w:val="22"/>
              </w:rPr>
              <w:t> </w:t>
            </w:r>
          </w:p>
        </w:tc>
        <w:tc>
          <w:tcPr>
            <w:tcW w:w="4560" w:type="dxa"/>
            <w:gridSpan w:val="2"/>
            <w:tcBorders>
              <w:top w:val="single" w:color="000000" w:sz="0" w:space="0"/>
              <w:left w:val="single" w:color="000000" w:sz="0" w:space="0"/>
              <w:bottom w:val="single" w:color="000000" w:sz="0" w:space="0"/>
              <w:right w:val="single" w:color="000000" w:sz="0" w:space="0"/>
            </w:tcBorders>
            <w:tcMar>
              <w:top w:w="0" w:type="dxa"/>
              <w:left w:w="0" w:type="dxa"/>
              <w:bottom w:w="0" w:type="dxa"/>
              <w:right w:w="0" w:type="dxa"/>
            </w:tcMar>
            <w:vAlign w:val="bottom"/>
          </w:tcPr>
          <w:p w14:paraId="73052616">
            <w:pPr>
              <w:spacing w:line="300" w:lineRule="auto"/>
              <w:ind w:left="640"/>
              <w:jc w:val="left"/>
              <w:rPr>
                <w:rFonts w:asciiTheme="minorHAnsi" w:hAnsiTheme="minorHAnsi" w:cstheme="minorBidi"/>
                <w:szCs w:val="22"/>
              </w:rPr>
            </w:pPr>
            <w:r>
              <w:rPr>
                <w:rFonts w:ascii="宋体" w:hAnsi="宋体" w:eastAsia="宋体" w:cs="宋体"/>
                <w:color w:val="000000"/>
                <w:sz w:val="24"/>
                <w:szCs w:val="22"/>
              </w:rPr>
              <w:t>【法定代理人】（签字或盖章）：</w:t>
            </w:r>
          </w:p>
        </w:tc>
      </w:tr>
      <w:tr w14:paraId="65F8E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1275" w:type="dxa"/>
            <w:tcBorders>
              <w:top w:val="single" w:color="000000" w:sz="0" w:space="0"/>
              <w:left w:val="single" w:color="000000" w:sz="0" w:space="0"/>
              <w:bottom w:val="single" w:color="000000" w:sz="0" w:space="0"/>
              <w:right w:val="single" w:color="000000" w:sz="0" w:space="0"/>
            </w:tcBorders>
            <w:tcMar>
              <w:top w:w="0" w:type="dxa"/>
              <w:left w:w="0" w:type="dxa"/>
              <w:bottom w:w="0" w:type="dxa"/>
              <w:right w:w="0" w:type="dxa"/>
            </w:tcMar>
            <w:vAlign w:val="bottom"/>
          </w:tcPr>
          <w:p w14:paraId="194E36FA">
            <w:pPr>
              <w:spacing w:line="300" w:lineRule="auto"/>
              <w:ind w:left="80"/>
              <w:jc w:val="left"/>
              <w:rPr>
                <w:rFonts w:asciiTheme="minorHAnsi" w:hAnsiTheme="minorHAnsi" w:cstheme="minorBidi"/>
                <w:szCs w:val="22"/>
              </w:rPr>
            </w:pPr>
            <w:r>
              <w:rPr>
                <w:rFonts w:ascii="宋体" w:hAnsi="宋体" w:eastAsia="宋体" w:cs="宋体"/>
                <w:color w:val="000000"/>
                <w:sz w:val="24"/>
                <w:szCs w:val="22"/>
              </w:rPr>
              <w:t>签订时间：</w:t>
            </w:r>
          </w:p>
        </w:tc>
        <w:tc>
          <w:tcPr>
            <w:tcW w:w="2640" w:type="dxa"/>
            <w:gridSpan w:val="6"/>
            <w:tcBorders>
              <w:top w:val="single" w:color="000000" w:sz="0" w:space="0"/>
              <w:left w:val="single" w:color="000000" w:sz="0" w:space="0"/>
              <w:bottom w:val="single" w:color="000000" w:sz="0" w:space="0"/>
              <w:right w:val="single" w:color="000000" w:sz="0" w:space="0"/>
            </w:tcBorders>
            <w:tcMar>
              <w:top w:w="0" w:type="dxa"/>
              <w:left w:w="0" w:type="dxa"/>
              <w:bottom w:w="0" w:type="dxa"/>
              <w:right w:w="0" w:type="dxa"/>
            </w:tcMar>
            <w:vAlign w:val="bottom"/>
          </w:tcPr>
          <w:p w14:paraId="6146D80E">
            <w:pPr>
              <w:spacing w:line="300" w:lineRule="auto"/>
              <w:ind w:left="960"/>
              <w:jc w:val="left"/>
              <w:rPr>
                <w:rFonts w:asciiTheme="minorHAnsi" w:hAnsiTheme="minorHAnsi" w:cstheme="minorBidi"/>
                <w:szCs w:val="22"/>
              </w:rPr>
            </w:pPr>
            <w:r>
              <w:rPr>
                <w:rFonts w:ascii="宋体" w:hAnsi="宋体" w:eastAsia="宋体" w:cs="宋体"/>
                <w:color w:val="000000"/>
                <w:sz w:val="24"/>
                <w:szCs w:val="22"/>
              </w:rPr>
              <w:t>年    月   日</w:t>
            </w:r>
          </w:p>
        </w:tc>
        <w:tc>
          <w:tcPr>
            <w:tcW w:w="1920" w:type="dxa"/>
            <w:tcBorders>
              <w:top w:val="single" w:color="000000" w:sz="0" w:space="0"/>
              <w:left w:val="single" w:color="000000" w:sz="0" w:space="0"/>
              <w:bottom w:val="single" w:color="000000" w:sz="0" w:space="0"/>
              <w:right w:val="single" w:color="000000" w:sz="0" w:space="0"/>
            </w:tcBorders>
            <w:tcMar>
              <w:top w:w="0" w:type="dxa"/>
              <w:left w:w="0" w:type="dxa"/>
              <w:bottom w:w="0" w:type="dxa"/>
              <w:right w:w="0" w:type="dxa"/>
            </w:tcMar>
            <w:vAlign w:val="bottom"/>
          </w:tcPr>
          <w:p w14:paraId="455F6C28">
            <w:pPr>
              <w:spacing w:line="300" w:lineRule="auto"/>
              <w:ind w:left="720"/>
              <w:jc w:val="left"/>
              <w:rPr>
                <w:rFonts w:asciiTheme="minorHAnsi" w:hAnsiTheme="minorHAnsi" w:cstheme="minorBidi"/>
                <w:szCs w:val="22"/>
              </w:rPr>
            </w:pPr>
            <w:r>
              <w:rPr>
                <w:rFonts w:ascii="宋体" w:hAnsi="宋体" w:eastAsia="宋体" w:cs="宋体"/>
                <w:color w:val="000000"/>
                <w:sz w:val="24"/>
                <w:szCs w:val="22"/>
              </w:rPr>
              <w:t>签订时间：</w:t>
            </w:r>
          </w:p>
        </w:tc>
        <w:tc>
          <w:tcPr>
            <w:tcW w:w="2640" w:type="dxa"/>
            <w:tcBorders>
              <w:top w:val="single" w:color="000000" w:sz="0" w:space="0"/>
              <w:left w:val="single" w:color="000000" w:sz="0" w:space="0"/>
              <w:bottom w:val="single" w:color="000000" w:sz="0" w:space="0"/>
              <w:right w:val="single" w:color="000000" w:sz="0" w:space="0"/>
            </w:tcBorders>
            <w:tcMar>
              <w:top w:w="0" w:type="dxa"/>
              <w:left w:w="0" w:type="dxa"/>
              <w:bottom w:w="0" w:type="dxa"/>
              <w:right w:w="0" w:type="dxa"/>
            </w:tcMar>
            <w:vAlign w:val="bottom"/>
          </w:tcPr>
          <w:p w14:paraId="6A9ACF23">
            <w:pPr>
              <w:spacing w:line="300" w:lineRule="auto"/>
              <w:ind w:left="960"/>
              <w:jc w:val="left"/>
              <w:rPr>
                <w:rFonts w:asciiTheme="minorHAnsi" w:hAnsiTheme="minorHAnsi" w:cstheme="minorBidi"/>
                <w:szCs w:val="22"/>
              </w:rPr>
            </w:pPr>
            <w:r>
              <w:rPr>
                <w:rFonts w:ascii="宋体" w:hAnsi="宋体" w:eastAsia="宋体" w:cs="宋体"/>
                <w:color w:val="000000"/>
                <w:sz w:val="24"/>
                <w:szCs w:val="22"/>
              </w:rPr>
              <w:t>年    月   日</w:t>
            </w:r>
          </w:p>
        </w:tc>
      </w:tr>
      <w:tr w14:paraId="6779A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1275" w:type="dxa"/>
            <w:tcBorders>
              <w:top w:val="single" w:color="000000" w:sz="0" w:space="0"/>
              <w:left w:val="single" w:color="000000" w:sz="0" w:space="0"/>
              <w:bottom w:val="single" w:color="000000" w:sz="0" w:space="0"/>
              <w:right w:val="single" w:color="000000" w:sz="0" w:space="0"/>
            </w:tcBorders>
            <w:tcMar>
              <w:top w:w="0" w:type="dxa"/>
              <w:left w:w="0" w:type="dxa"/>
              <w:bottom w:w="0" w:type="dxa"/>
              <w:right w:w="0" w:type="dxa"/>
            </w:tcMar>
            <w:vAlign w:val="bottom"/>
          </w:tcPr>
          <w:p w14:paraId="52327D19">
            <w:pPr>
              <w:spacing w:line="300" w:lineRule="auto"/>
              <w:ind w:left="80"/>
              <w:jc w:val="left"/>
              <w:rPr>
                <w:rFonts w:asciiTheme="minorHAnsi" w:hAnsiTheme="minorHAnsi" w:cstheme="minorBidi"/>
                <w:szCs w:val="22"/>
              </w:rPr>
            </w:pPr>
            <w:r>
              <w:rPr>
                <w:rFonts w:ascii="宋体" w:hAnsi="宋体" w:eastAsia="宋体" w:cs="宋体"/>
                <w:color w:val="000000"/>
                <w:sz w:val="24"/>
                <w:szCs w:val="22"/>
              </w:rPr>
              <w:t>签订地点：</w:t>
            </w:r>
          </w:p>
        </w:tc>
        <w:tc>
          <w:tcPr>
            <w:tcW w:w="2400" w:type="dxa"/>
            <w:gridSpan w:val="5"/>
            <w:tcBorders>
              <w:top w:val="single" w:color="000000" w:sz="8" w:space="0"/>
              <w:left w:val="single" w:color="000000" w:sz="0" w:space="0"/>
              <w:bottom w:val="single" w:color="000000" w:sz="8" w:space="0"/>
              <w:right w:val="single" w:color="000000" w:sz="0" w:space="0"/>
            </w:tcBorders>
            <w:tcMar>
              <w:top w:w="0" w:type="dxa"/>
              <w:left w:w="0" w:type="dxa"/>
              <w:bottom w:w="0" w:type="dxa"/>
              <w:right w:w="0" w:type="dxa"/>
            </w:tcMar>
            <w:vAlign w:val="bottom"/>
          </w:tcPr>
          <w:p w14:paraId="71958DD4">
            <w:pPr>
              <w:spacing w:line="300" w:lineRule="auto"/>
              <w:jc w:val="left"/>
              <w:rPr>
                <w:rFonts w:asciiTheme="minorHAnsi" w:hAnsiTheme="minorHAnsi" w:cstheme="minorBidi"/>
                <w:szCs w:val="22"/>
              </w:rPr>
            </w:pPr>
            <w:r>
              <w:rPr>
                <w:rFonts w:ascii="宋体" w:hAnsi="宋体" w:eastAsia="宋体" w:cs="宋体"/>
                <w:color w:val="000000"/>
                <w:sz w:val="24"/>
                <w:szCs w:val="22"/>
              </w:rPr>
              <w:t xml:space="preserve"> </w:t>
            </w:r>
          </w:p>
        </w:tc>
        <w:tc>
          <w:tcPr>
            <w:tcW w:w="240" w:type="dxa"/>
            <w:tcBorders>
              <w:top w:val="single" w:color="000000" w:sz="0" w:space="0"/>
              <w:left w:val="single" w:color="000000" w:sz="0" w:space="0"/>
              <w:bottom w:val="single" w:color="000000" w:sz="8" w:space="0"/>
              <w:right w:val="single" w:color="000000" w:sz="0" w:space="0"/>
            </w:tcBorders>
            <w:tcMar>
              <w:top w:w="0" w:type="dxa"/>
              <w:left w:w="0" w:type="dxa"/>
              <w:bottom w:w="0" w:type="dxa"/>
              <w:right w:w="0" w:type="dxa"/>
            </w:tcMar>
            <w:vAlign w:val="bottom"/>
          </w:tcPr>
          <w:p w14:paraId="25F45F2B">
            <w:pPr>
              <w:spacing w:line="300" w:lineRule="auto"/>
              <w:jc w:val="left"/>
              <w:rPr>
                <w:rFonts w:asciiTheme="minorHAnsi" w:hAnsiTheme="minorHAnsi" w:cstheme="minorBidi"/>
                <w:szCs w:val="22"/>
              </w:rPr>
            </w:pPr>
            <w:r>
              <w:rPr>
                <w:rFonts w:ascii="宋体" w:hAnsi="宋体" w:eastAsia="宋体" w:cs="宋体"/>
                <w:color w:val="000000"/>
                <w:sz w:val="24"/>
                <w:szCs w:val="22"/>
              </w:rPr>
              <w:t> </w:t>
            </w:r>
          </w:p>
        </w:tc>
        <w:tc>
          <w:tcPr>
            <w:tcW w:w="1920" w:type="dxa"/>
            <w:tcBorders>
              <w:top w:val="single" w:color="000000" w:sz="0" w:space="0"/>
              <w:left w:val="single" w:color="000000" w:sz="0" w:space="0"/>
              <w:bottom w:val="single" w:color="000000" w:sz="0" w:space="0"/>
              <w:right w:val="single" w:color="000000" w:sz="0" w:space="0"/>
            </w:tcBorders>
            <w:tcMar>
              <w:top w:w="0" w:type="dxa"/>
              <w:left w:w="0" w:type="dxa"/>
              <w:bottom w:w="0" w:type="dxa"/>
              <w:right w:w="0" w:type="dxa"/>
            </w:tcMar>
            <w:vAlign w:val="bottom"/>
          </w:tcPr>
          <w:p w14:paraId="6A3FF43B">
            <w:pPr>
              <w:spacing w:line="300" w:lineRule="auto"/>
              <w:ind w:left="720"/>
              <w:jc w:val="left"/>
              <w:rPr>
                <w:rFonts w:asciiTheme="minorHAnsi" w:hAnsiTheme="minorHAnsi" w:cstheme="minorBidi"/>
                <w:szCs w:val="22"/>
              </w:rPr>
            </w:pPr>
            <w:r>
              <w:rPr>
                <w:rFonts w:ascii="宋体" w:hAnsi="宋体" w:eastAsia="宋体" w:cs="宋体"/>
                <w:color w:val="000000"/>
                <w:sz w:val="24"/>
                <w:szCs w:val="22"/>
              </w:rPr>
              <w:t>签订地点：</w:t>
            </w:r>
          </w:p>
        </w:tc>
        <w:tc>
          <w:tcPr>
            <w:tcW w:w="2640" w:type="dxa"/>
            <w:tcBorders>
              <w:top w:val="single" w:color="000000" w:sz="8" w:space="0"/>
              <w:left w:val="single" w:color="000000" w:sz="0" w:space="0"/>
              <w:bottom w:val="single" w:color="000000" w:sz="8" w:space="0"/>
              <w:right w:val="single" w:color="000000" w:sz="0" w:space="0"/>
            </w:tcBorders>
            <w:tcMar>
              <w:top w:w="0" w:type="dxa"/>
              <w:left w:w="0" w:type="dxa"/>
              <w:bottom w:w="0" w:type="dxa"/>
              <w:right w:w="0" w:type="dxa"/>
            </w:tcMar>
            <w:vAlign w:val="bottom"/>
          </w:tcPr>
          <w:p w14:paraId="71F7CAF3">
            <w:pPr>
              <w:spacing w:line="300" w:lineRule="auto"/>
              <w:jc w:val="left"/>
              <w:rPr>
                <w:rFonts w:asciiTheme="minorHAnsi" w:hAnsiTheme="minorHAnsi" w:cstheme="minorBidi"/>
                <w:szCs w:val="22"/>
              </w:rPr>
            </w:pPr>
            <w:r>
              <w:rPr>
                <w:rFonts w:ascii="宋体" w:hAnsi="宋体" w:eastAsia="宋体" w:cs="宋体"/>
                <w:color w:val="000000"/>
                <w:sz w:val="24"/>
                <w:szCs w:val="22"/>
              </w:rPr>
              <w:t xml:space="preserve"> </w:t>
            </w:r>
          </w:p>
        </w:tc>
      </w:tr>
    </w:tbl>
    <w:p w14:paraId="0C9933E5">
      <w:pPr>
        <w:spacing w:line="300" w:lineRule="auto"/>
        <w:jc w:val="left"/>
      </w:pPr>
      <w:r>
        <w:rPr>
          <w:rFonts w:ascii="宋体" w:hAnsi="宋体" w:eastAsia="宋体" w:cs="宋体"/>
          <w:b/>
          <w:color w:val="000000"/>
          <w:sz w:val="24"/>
        </w:rPr>
        <w:t> </w:t>
      </w:r>
    </w:p>
    <w:p w14:paraId="2511F9E7">
      <w:pPr>
        <w:spacing w:line="300" w:lineRule="auto"/>
      </w:pPr>
      <w:r>
        <w:rPr>
          <w:rFonts w:ascii="宋体" w:hAnsi="宋体" w:eastAsia="宋体" w:cs="宋体"/>
          <w:b/>
          <w:color w:val="000000"/>
          <w:sz w:val="24"/>
        </w:rPr>
        <w:t> </w:t>
      </w:r>
    </w:p>
    <w:p w14:paraId="6CC08862">
      <w:pPr>
        <w:spacing w:line="300" w:lineRule="auto"/>
      </w:pPr>
      <w:r>
        <w:rPr>
          <w:rFonts w:ascii="宋体" w:hAnsi="宋体" w:eastAsia="宋体" w:cs="宋体"/>
          <w:b/>
          <w:color w:val="000000"/>
          <w:sz w:val="24"/>
        </w:rPr>
        <w:t> </w:t>
      </w:r>
    </w:p>
    <w:p w14:paraId="3887F628">
      <w:pPr>
        <w:spacing w:line="300" w:lineRule="auto"/>
      </w:pPr>
      <w:r>
        <w:rPr>
          <w:rFonts w:ascii="宋体" w:hAnsi="宋体" w:eastAsia="宋体" w:cs="宋体"/>
          <w:b/>
          <w:color w:val="000000"/>
          <w:sz w:val="24"/>
        </w:rPr>
        <w:t> </w:t>
      </w:r>
    </w:p>
    <w:p w14:paraId="2F9FEE2F">
      <w:pPr>
        <w:spacing w:line="300" w:lineRule="auto"/>
      </w:pPr>
      <w:r>
        <w:rPr>
          <w:rFonts w:ascii="宋体" w:hAnsi="宋体" w:eastAsia="宋体" w:cs="宋体"/>
          <w:b/>
          <w:color w:val="000000"/>
          <w:sz w:val="24"/>
        </w:rPr>
        <w:t> </w:t>
      </w:r>
    </w:p>
    <w:p w14:paraId="10190EF2">
      <w:pPr>
        <w:spacing w:line="300" w:lineRule="auto"/>
        <w:jc w:val="left"/>
      </w:pPr>
    </w:p>
    <w:p w14:paraId="584162B5">
      <w:pPr>
        <w:spacing w:line="300" w:lineRule="auto"/>
        <w:jc w:val="left"/>
      </w:pPr>
      <w:r>
        <w:rPr>
          <w:rFonts w:ascii="宋体" w:hAnsi="宋体" w:eastAsia="宋体" w:cs="宋体"/>
          <w:b/>
          <w:color w:val="000000"/>
          <w:sz w:val="24"/>
        </w:rPr>
        <w:t>附件一 房屋平面图（应当标明方位）</w:t>
      </w:r>
    </w:p>
    <w:p w14:paraId="4BAAB474">
      <w:pPr>
        <w:spacing w:line="300" w:lineRule="auto"/>
        <w:ind w:left="80"/>
        <w:jc w:val="left"/>
      </w:pPr>
      <w:r>
        <w:rPr>
          <w:rFonts w:ascii="宋体" w:hAnsi="宋体" w:eastAsia="宋体" w:cs="宋体"/>
          <w:b/>
          <w:color w:val="000000"/>
          <w:sz w:val="24"/>
        </w:rPr>
        <w:t> </w:t>
      </w:r>
    </w:p>
    <w:p w14:paraId="64297565">
      <w:pPr>
        <w:spacing w:line="300" w:lineRule="auto"/>
        <w:ind w:firstLine="480" w:firstLineChars="200"/>
      </w:pPr>
      <w:r>
        <w:rPr>
          <w:rFonts w:ascii="宋体" w:hAnsi="宋体" w:eastAsia="宋体" w:cs="宋体"/>
          <w:color w:val="000000"/>
          <w:sz w:val="24"/>
        </w:rPr>
        <w:t xml:space="preserve">1、房屋分层分户图（应当标明详细尺寸，并约定误差范围） </w:t>
      </w:r>
    </w:p>
    <w:p w14:paraId="68C37C3F">
      <w:pPr>
        <w:spacing w:line="300" w:lineRule="auto"/>
        <w:ind w:firstLine="480" w:firstLineChars="200"/>
      </w:pPr>
      <w:r>
        <w:rPr>
          <w:rFonts w:ascii="宋体" w:hAnsi="宋体" w:eastAsia="宋体" w:cs="宋体"/>
          <w:color w:val="000000"/>
          <w:sz w:val="24"/>
        </w:rPr>
        <w:t xml:space="preserve">2、建设工程规划方案总平面图 </w:t>
      </w:r>
    </w:p>
    <w:p w14:paraId="5307BAB2">
      <w:pPr>
        <w:spacing w:line="300" w:lineRule="auto"/>
        <w:ind w:left="80"/>
        <w:jc w:val="left"/>
      </w:pPr>
    </w:p>
    <w:p w14:paraId="3D0418CD">
      <w:pPr>
        <w:spacing w:line="300" w:lineRule="auto"/>
        <w:ind w:left="80"/>
        <w:jc w:val="left"/>
      </w:pPr>
    </w:p>
    <w:p w14:paraId="7EBFB590">
      <w:pPr>
        <w:spacing w:line="300" w:lineRule="auto"/>
        <w:ind w:left="80"/>
        <w:jc w:val="left"/>
      </w:pPr>
      <w:r>
        <w:rPr>
          <w:rFonts w:ascii="宋体" w:hAnsi="宋体" w:eastAsia="宋体" w:cs="宋体"/>
          <w:b/>
          <w:color w:val="000000"/>
          <w:sz w:val="24"/>
        </w:rPr>
        <w:t>附件二 关于该商品房共用部位的具体说明（可附图说明）</w:t>
      </w:r>
    </w:p>
    <w:p w14:paraId="202043CE">
      <w:pPr>
        <w:tabs>
          <w:tab w:val="left" w:pos="1340"/>
        </w:tabs>
        <w:spacing w:line="300" w:lineRule="auto"/>
      </w:pPr>
      <w:r>
        <w:rPr>
          <w:rFonts w:ascii="宋体" w:hAnsi="宋体" w:eastAsia="宋体" w:cs="宋体"/>
          <w:color w:val="000000"/>
          <w:sz w:val="24"/>
        </w:rPr>
        <w:t xml:space="preserve">1、纳入该商品房分摊的共用部位的名称、面积和所在位置 </w:t>
      </w:r>
    </w:p>
    <w:p w14:paraId="3265B20A">
      <w:pPr>
        <w:tabs>
          <w:tab w:val="left" w:pos="1340"/>
        </w:tabs>
        <w:spacing w:line="300" w:lineRule="auto"/>
      </w:pPr>
      <w:r>
        <w:rPr>
          <w:rFonts w:ascii="宋体" w:hAnsi="宋体" w:eastAsia="宋体" w:cs="宋体"/>
          <w:color w:val="000000"/>
          <w:sz w:val="24"/>
        </w:rPr>
        <w:t xml:space="preserve">2、未纳入该商品房分摊的共用部位的名称、所在位置 </w:t>
      </w:r>
    </w:p>
    <w:p w14:paraId="76A0A8D9">
      <w:pPr>
        <w:spacing w:line="300" w:lineRule="auto"/>
        <w:ind w:left="80"/>
        <w:jc w:val="left"/>
      </w:pPr>
      <w:r>
        <w:rPr>
          <w:rFonts w:ascii="宋体" w:hAnsi="宋体" w:eastAsia="宋体" w:cs="宋体"/>
          <w:color w:val="000000"/>
          <w:sz w:val="24"/>
          <w:u w:val="single"/>
        </w:rPr>
        <w:t>备注：以上纳入该商品房分摊的共用部位及未纳入该商品房分摊的公共部位说明摘自该商品房预测绘报告内容。如该商品房实测绘时因政府相关房产测量规则、规范、文件调整或测绘机构的测量口径调整导致上述说明内容调整的，以实测绘报告内容说明为准，并不构成出卖人违约。</w:t>
      </w:r>
    </w:p>
    <w:p w14:paraId="151A248F">
      <w:pPr>
        <w:spacing w:line="300" w:lineRule="auto"/>
        <w:ind w:left="80"/>
        <w:jc w:val="left"/>
      </w:pPr>
      <w:r>
        <w:rPr>
          <w:rFonts w:ascii="宋体" w:hAnsi="宋体" w:eastAsia="宋体" w:cs="宋体"/>
          <w:b/>
          <w:color w:val="000000"/>
          <w:sz w:val="24"/>
        </w:rPr>
        <w:t> </w:t>
      </w:r>
    </w:p>
    <w:p w14:paraId="0FD0E86B">
      <w:pPr>
        <w:spacing w:line="300" w:lineRule="auto"/>
        <w:ind w:left="80"/>
        <w:jc w:val="left"/>
      </w:pPr>
      <w:r>
        <w:rPr>
          <w:rFonts w:ascii="宋体" w:hAnsi="宋体" w:eastAsia="宋体" w:cs="宋体"/>
          <w:b/>
          <w:color w:val="000000"/>
          <w:sz w:val="24"/>
        </w:rPr>
        <w:t> </w:t>
      </w:r>
    </w:p>
    <w:p w14:paraId="512DB9D0">
      <w:pPr>
        <w:spacing w:line="300" w:lineRule="auto"/>
        <w:ind w:left="80"/>
        <w:jc w:val="left"/>
      </w:pPr>
      <w:r>
        <w:rPr>
          <w:rFonts w:ascii="宋体" w:hAnsi="宋体" w:eastAsia="宋体" w:cs="宋体"/>
          <w:b/>
          <w:color w:val="000000"/>
          <w:sz w:val="24"/>
        </w:rPr>
        <w:t> </w:t>
      </w:r>
    </w:p>
    <w:p w14:paraId="0128F41F">
      <w:pPr>
        <w:spacing w:line="300" w:lineRule="auto"/>
        <w:ind w:left="80"/>
        <w:jc w:val="left"/>
      </w:pPr>
      <w:r>
        <w:rPr>
          <w:rFonts w:ascii="宋体" w:hAnsi="宋体" w:eastAsia="宋体" w:cs="宋体"/>
          <w:b/>
          <w:color w:val="000000"/>
          <w:sz w:val="24"/>
        </w:rPr>
        <w:t> </w:t>
      </w:r>
    </w:p>
    <w:p w14:paraId="2576137B">
      <w:pPr>
        <w:spacing w:line="300" w:lineRule="auto"/>
        <w:jc w:val="left"/>
      </w:pPr>
      <w:r>
        <w:rPr>
          <w:rFonts w:ascii="宋体" w:hAnsi="宋体" w:eastAsia="宋体" w:cs="宋体"/>
          <w:b/>
          <w:color w:val="000000"/>
          <w:sz w:val="24"/>
        </w:rPr>
        <w:t> </w:t>
      </w:r>
    </w:p>
    <w:p w14:paraId="01C4C75A">
      <w:pPr>
        <w:spacing w:line="300" w:lineRule="auto"/>
        <w:jc w:val="left"/>
      </w:pPr>
      <w:r>
        <w:rPr>
          <w:rFonts w:ascii="宋体" w:hAnsi="宋体" w:eastAsia="宋体" w:cs="宋体"/>
          <w:b/>
          <w:color w:val="000000"/>
          <w:sz w:val="24"/>
        </w:rPr>
        <w:t> </w:t>
      </w:r>
    </w:p>
    <w:p w14:paraId="3E98CF2E">
      <w:pPr>
        <w:spacing w:line="300" w:lineRule="auto"/>
        <w:jc w:val="left"/>
      </w:pPr>
      <w:r>
        <w:rPr>
          <w:rFonts w:ascii="宋体" w:hAnsi="宋体" w:eastAsia="宋体" w:cs="宋体"/>
          <w:b/>
          <w:color w:val="000000"/>
          <w:sz w:val="24"/>
        </w:rPr>
        <w:t> </w:t>
      </w:r>
    </w:p>
    <w:p w14:paraId="14B7BF59">
      <w:pPr>
        <w:spacing w:line="300" w:lineRule="auto"/>
        <w:jc w:val="left"/>
      </w:pPr>
      <w:r>
        <w:rPr>
          <w:rFonts w:ascii="宋体" w:hAnsi="宋体" w:eastAsia="宋体" w:cs="宋体"/>
          <w:b/>
          <w:color w:val="000000"/>
          <w:sz w:val="24"/>
        </w:rPr>
        <w:t> </w:t>
      </w:r>
    </w:p>
    <w:p w14:paraId="040425B0">
      <w:pPr>
        <w:spacing w:line="300" w:lineRule="auto"/>
        <w:jc w:val="left"/>
      </w:pPr>
      <w:r>
        <w:rPr>
          <w:rFonts w:ascii="宋体" w:hAnsi="宋体" w:eastAsia="宋体" w:cs="宋体"/>
          <w:b/>
          <w:color w:val="000000"/>
          <w:sz w:val="24"/>
        </w:rPr>
        <w:t> </w:t>
      </w:r>
    </w:p>
    <w:p w14:paraId="618DDE7D">
      <w:pPr>
        <w:spacing w:line="300" w:lineRule="auto"/>
        <w:jc w:val="left"/>
      </w:pPr>
      <w:r>
        <w:rPr>
          <w:rFonts w:ascii="宋体" w:hAnsi="宋体" w:eastAsia="宋体" w:cs="宋体"/>
          <w:b/>
          <w:color w:val="000000"/>
          <w:sz w:val="24"/>
        </w:rPr>
        <w:t> </w:t>
      </w:r>
    </w:p>
    <w:p w14:paraId="4B921595">
      <w:pPr>
        <w:spacing w:line="300" w:lineRule="auto"/>
        <w:jc w:val="left"/>
      </w:pPr>
      <w:r>
        <w:rPr>
          <w:rFonts w:ascii="宋体" w:hAnsi="宋体" w:eastAsia="宋体" w:cs="宋体"/>
          <w:b/>
          <w:color w:val="000000"/>
          <w:sz w:val="24"/>
        </w:rPr>
        <w:t> </w:t>
      </w:r>
    </w:p>
    <w:p w14:paraId="157B67C6">
      <w:pPr>
        <w:spacing w:line="300" w:lineRule="auto"/>
        <w:jc w:val="left"/>
      </w:pPr>
      <w:r>
        <w:rPr>
          <w:rFonts w:ascii="宋体" w:hAnsi="宋体" w:eastAsia="宋体" w:cs="宋体"/>
          <w:b/>
          <w:color w:val="000000"/>
          <w:sz w:val="24"/>
        </w:rPr>
        <w:t> </w:t>
      </w:r>
    </w:p>
    <w:p w14:paraId="34117DDC">
      <w:pPr>
        <w:spacing w:line="300" w:lineRule="auto"/>
        <w:jc w:val="left"/>
      </w:pPr>
      <w:r>
        <w:rPr>
          <w:rFonts w:ascii="宋体" w:hAnsi="宋体" w:eastAsia="宋体" w:cs="宋体"/>
          <w:b/>
          <w:color w:val="000000"/>
          <w:sz w:val="24"/>
        </w:rPr>
        <w:t> </w:t>
      </w:r>
    </w:p>
    <w:p w14:paraId="48E8415A">
      <w:pPr>
        <w:spacing w:line="300" w:lineRule="auto"/>
        <w:jc w:val="left"/>
      </w:pPr>
      <w:r>
        <w:rPr>
          <w:rFonts w:ascii="宋体" w:hAnsi="宋体" w:eastAsia="宋体" w:cs="宋体"/>
          <w:b/>
          <w:color w:val="000000"/>
          <w:sz w:val="24"/>
        </w:rPr>
        <w:t> </w:t>
      </w:r>
    </w:p>
    <w:p w14:paraId="5E15E55E">
      <w:pPr>
        <w:spacing w:line="300" w:lineRule="auto"/>
        <w:jc w:val="left"/>
      </w:pPr>
      <w:r>
        <w:rPr>
          <w:rFonts w:ascii="宋体" w:hAnsi="宋体" w:eastAsia="宋体" w:cs="宋体"/>
          <w:b/>
          <w:color w:val="000000"/>
          <w:sz w:val="24"/>
        </w:rPr>
        <w:t> </w:t>
      </w:r>
    </w:p>
    <w:p w14:paraId="6367C6D7">
      <w:pPr>
        <w:spacing w:line="300" w:lineRule="auto"/>
        <w:jc w:val="left"/>
      </w:pPr>
      <w:r>
        <w:rPr>
          <w:rFonts w:ascii="宋体" w:hAnsi="宋体" w:eastAsia="宋体" w:cs="宋体"/>
          <w:b/>
          <w:color w:val="000000"/>
          <w:sz w:val="24"/>
        </w:rPr>
        <w:t> </w:t>
      </w:r>
    </w:p>
    <w:p w14:paraId="33F83A00">
      <w:pPr>
        <w:spacing w:line="300" w:lineRule="auto"/>
        <w:jc w:val="left"/>
      </w:pPr>
      <w:r>
        <w:rPr>
          <w:rFonts w:ascii="宋体" w:hAnsi="宋体" w:eastAsia="宋体" w:cs="宋体"/>
          <w:b/>
          <w:color w:val="000000"/>
          <w:sz w:val="24"/>
        </w:rPr>
        <w:t> </w:t>
      </w:r>
    </w:p>
    <w:p w14:paraId="4AA0157A">
      <w:pPr>
        <w:spacing w:line="300" w:lineRule="auto"/>
        <w:jc w:val="left"/>
      </w:pPr>
      <w:r>
        <w:rPr>
          <w:rFonts w:ascii="宋体" w:hAnsi="宋体" w:eastAsia="宋体" w:cs="宋体"/>
          <w:b/>
          <w:color w:val="000000"/>
          <w:sz w:val="24"/>
        </w:rPr>
        <w:t> </w:t>
      </w:r>
    </w:p>
    <w:p w14:paraId="73A723A3">
      <w:pPr>
        <w:spacing w:line="300" w:lineRule="auto"/>
        <w:jc w:val="left"/>
      </w:pPr>
      <w:r>
        <w:rPr>
          <w:rFonts w:ascii="宋体" w:hAnsi="宋体" w:eastAsia="宋体" w:cs="宋体"/>
          <w:b/>
          <w:color w:val="000000"/>
          <w:sz w:val="24"/>
        </w:rPr>
        <w:t> </w:t>
      </w:r>
    </w:p>
    <w:p w14:paraId="6D714C7A">
      <w:pPr>
        <w:spacing w:line="300" w:lineRule="auto"/>
        <w:jc w:val="left"/>
      </w:pPr>
      <w:r>
        <w:rPr>
          <w:rFonts w:ascii="宋体" w:hAnsi="宋体" w:eastAsia="宋体" w:cs="宋体"/>
          <w:b/>
          <w:color w:val="000000"/>
          <w:sz w:val="24"/>
        </w:rPr>
        <w:t> </w:t>
      </w:r>
    </w:p>
    <w:p w14:paraId="2B54B4B6">
      <w:pPr>
        <w:spacing w:line="300" w:lineRule="auto"/>
        <w:jc w:val="left"/>
      </w:pPr>
      <w:r>
        <w:rPr>
          <w:rFonts w:ascii="宋体" w:hAnsi="宋体" w:eastAsia="宋体" w:cs="宋体"/>
          <w:b/>
          <w:color w:val="000000"/>
          <w:sz w:val="24"/>
        </w:rPr>
        <w:t> </w:t>
      </w:r>
    </w:p>
    <w:p w14:paraId="4380805E">
      <w:pPr>
        <w:spacing w:line="300" w:lineRule="auto"/>
        <w:jc w:val="left"/>
      </w:pPr>
    </w:p>
    <w:p w14:paraId="471FBF7D">
      <w:pPr>
        <w:spacing w:line="300" w:lineRule="auto"/>
        <w:jc w:val="left"/>
      </w:pPr>
    </w:p>
    <w:p w14:paraId="3DB95D5A">
      <w:pPr>
        <w:spacing w:line="300" w:lineRule="auto"/>
        <w:ind w:left="80"/>
        <w:jc w:val="left"/>
      </w:pPr>
      <w:r>
        <w:rPr>
          <w:rFonts w:ascii="宋体" w:hAnsi="宋体" w:eastAsia="宋体" w:cs="宋体"/>
          <w:b/>
          <w:color w:val="000000"/>
          <w:sz w:val="24"/>
        </w:rPr>
        <w:t>附件三 抵押权人同意该商品房转让的证明及关于抵押的相关约定</w:t>
      </w:r>
    </w:p>
    <w:p w14:paraId="03873F9A">
      <w:pPr>
        <w:spacing w:before="50" w:line="400" w:lineRule="exact"/>
        <w:ind w:firstLine="480" w:firstLineChars="200"/>
      </w:pPr>
      <w:r>
        <w:rPr>
          <w:rFonts w:ascii="宋体" w:hAnsi="宋体" w:eastAsia="宋体" w:cs="宋体"/>
          <w:color w:val="000000"/>
          <w:sz w:val="24"/>
        </w:rPr>
        <w:t>1.抵押权人同意该商品房转让的证明</w:t>
      </w:r>
    </w:p>
    <w:p w14:paraId="78CB91C2">
      <w:pPr>
        <w:spacing w:before="50" w:line="400" w:lineRule="exact"/>
        <w:ind w:firstLine="480" w:firstLineChars="200"/>
      </w:pPr>
      <w:r>
        <w:rPr>
          <w:rFonts w:ascii="宋体" w:hAnsi="宋体" w:eastAsia="宋体" w:cs="宋体"/>
          <w:color w:val="000000"/>
          <w:sz w:val="24"/>
        </w:rPr>
        <w:t>2.解除抵押的条件和时间</w:t>
      </w:r>
    </w:p>
    <w:p w14:paraId="4075D769">
      <w:pPr>
        <w:spacing w:before="50" w:line="400" w:lineRule="exact"/>
        <w:ind w:firstLine="480" w:firstLineChars="200"/>
      </w:pPr>
      <w:r>
        <w:rPr>
          <w:rFonts w:ascii="宋体" w:hAnsi="宋体" w:eastAsia="宋体" w:cs="宋体"/>
          <w:color w:val="000000"/>
          <w:sz w:val="24"/>
        </w:rPr>
        <w:t>3.关于抵押的其他约定</w:t>
      </w:r>
    </w:p>
    <w:p w14:paraId="3BFC9291">
      <w:pPr>
        <w:spacing w:before="50" w:line="400" w:lineRule="exact"/>
        <w:ind w:firstLine="420" w:firstLineChars="200"/>
      </w:pPr>
      <w:r>
        <w:rPr>
          <w:rFonts w:ascii="宋体" w:hAnsi="宋体" w:eastAsia="宋体" w:cs="宋体"/>
          <w:color w:val="000000"/>
          <w:sz w:val="21"/>
          <w:u w:val="single"/>
        </w:rPr>
        <w:t>买受人知悉，本合同第四条关于抵押情况的约定系《商品房买卖合同》于政府部门备案时该房屋有关的抵押情况，鉴于《商品房买卖合同》的政府备案与买受人实际签署《商品房买卖合同》存在时间差，故《商品房买卖合同》实际签署时，该商品房抵押情况可能发生变更，若发生该等情形的，不构成出卖人违约。</w:t>
      </w:r>
    </w:p>
    <w:p w14:paraId="51C622FA">
      <w:pPr>
        <w:spacing w:before="50" w:line="400" w:lineRule="exact"/>
        <w:ind w:firstLine="420" w:firstLineChars="200"/>
      </w:pPr>
      <w:r>
        <w:rPr>
          <w:rFonts w:ascii="宋体" w:hAnsi="宋体" w:eastAsia="宋体" w:cs="宋体"/>
          <w:color w:val="000000"/>
          <w:sz w:val="21"/>
          <w:u w:val="single"/>
        </w:rPr>
        <w:t>买受人同意，出卖人在房屋不动产首次登记完成前有权对本合同商品房有关的土地使用权及在建工程设定抵押并就抵押事项包括登记机关、抵押当事人、债务人、被担保的主债权的数额、登记时间等可进行变更或注销，且不再另行予以通知。</w:t>
      </w:r>
    </w:p>
    <w:p w14:paraId="442796A9">
      <w:pPr>
        <w:spacing w:before="50" w:line="400" w:lineRule="exact"/>
        <w:ind w:firstLine="420" w:firstLineChars="200"/>
      </w:pPr>
      <w:r>
        <w:rPr>
          <w:rFonts w:ascii="宋体" w:hAnsi="宋体" w:eastAsia="宋体" w:cs="宋体"/>
          <w:color w:val="000000"/>
          <w:sz w:val="21"/>
          <w:u w:val="single"/>
        </w:rPr>
        <w:t>买受人同意，出卖人在办理该商品房房屋不动产首次登记时，与买受人所购商品房及该商品房独自占用或分摊的土地使用权面积无关的土地使用权及在建工程上的抵押登记，在不影响买受人所购商品房不动产首次登记的情况下可不予撤销，并直接办理相关的转抵押登记手续</w:t>
      </w:r>
      <w:r>
        <w:rPr>
          <w:rFonts w:ascii="宋体" w:hAnsi="宋体" w:eastAsia="宋体" w:cs="宋体"/>
          <w:color w:val="000000"/>
          <w:sz w:val="28"/>
          <w:u w:val="single"/>
        </w:rPr>
        <w:t>。</w:t>
      </w:r>
    </w:p>
    <w:p w14:paraId="5D5417EB">
      <w:pPr>
        <w:spacing w:line="300" w:lineRule="auto"/>
        <w:jc w:val="left"/>
      </w:pPr>
      <w:r>
        <w:rPr>
          <w:rFonts w:ascii="宋体" w:hAnsi="宋体" w:eastAsia="宋体" w:cs="宋体"/>
          <w:color w:val="000000"/>
          <w:sz w:val="24"/>
        </w:rPr>
        <w:t> </w:t>
      </w:r>
    </w:p>
    <w:p w14:paraId="79070441">
      <w:pPr>
        <w:spacing w:line="300" w:lineRule="auto"/>
        <w:jc w:val="left"/>
      </w:pPr>
      <w:r>
        <w:rPr>
          <w:rFonts w:ascii="宋体" w:hAnsi="宋体" w:eastAsia="宋体" w:cs="宋体"/>
          <w:color w:val="000000"/>
          <w:sz w:val="24"/>
        </w:rPr>
        <w:t> </w:t>
      </w:r>
    </w:p>
    <w:p w14:paraId="3122BC12">
      <w:pPr>
        <w:spacing w:line="300" w:lineRule="auto"/>
        <w:jc w:val="left"/>
      </w:pPr>
      <w:r>
        <w:rPr>
          <w:rFonts w:ascii="宋体" w:hAnsi="宋体" w:eastAsia="宋体" w:cs="宋体"/>
          <w:color w:val="000000"/>
          <w:sz w:val="24"/>
        </w:rPr>
        <w:t> </w:t>
      </w:r>
    </w:p>
    <w:p w14:paraId="5A7999E7">
      <w:pPr>
        <w:spacing w:line="300" w:lineRule="auto"/>
        <w:jc w:val="left"/>
      </w:pPr>
      <w:r>
        <w:rPr>
          <w:rFonts w:ascii="宋体" w:hAnsi="宋体" w:eastAsia="宋体" w:cs="宋体"/>
          <w:color w:val="000000"/>
          <w:sz w:val="24"/>
        </w:rPr>
        <w:t> </w:t>
      </w:r>
    </w:p>
    <w:p w14:paraId="67BDD5D6">
      <w:pPr>
        <w:spacing w:line="300" w:lineRule="auto"/>
        <w:jc w:val="left"/>
      </w:pPr>
      <w:r>
        <w:rPr>
          <w:rFonts w:ascii="宋体" w:hAnsi="宋体" w:eastAsia="宋体" w:cs="宋体"/>
          <w:color w:val="000000"/>
          <w:sz w:val="24"/>
        </w:rPr>
        <w:t> </w:t>
      </w:r>
    </w:p>
    <w:p w14:paraId="11C370DE">
      <w:pPr>
        <w:spacing w:line="300" w:lineRule="auto"/>
        <w:ind w:left="1120" w:hanging="1120"/>
        <w:jc w:val="left"/>
      </w:pPr>
      <w:r>
        <w:rPr>
          <w:rFonts w:ascii="宋体" w:hAnsi="宋体" w:eastAsia="宋体" w:cs="宋体"/>
          <w:b/>
          <w:color w:val="000000"/>
          <w:sz w:val="24"/>
        </w:rPr>
        <w:t> </w:t>
      </w:r>
    </w:p>
    <w:p w14:paraId="16008B54">
      <w:pPr>
        <w:spacing w:line="300" w:lineRule="auto"/>
        <w:ind w:left="1120" w:hanging="1120"/>
        <w:jc w:val="left"/>
      </w:pPr>
      <w:r>
        <w:rPr>
          <w:rFonts w:ascii="宋体" w:hAnsi="宋体" w:eastAsia="宋体" w:cs="宋体"/>
          <w:b/>
          <w:color w:val="000000"/>
          <w:sz w:val="24"/>
        </w:rPr>
        <w:t> </w:t>
      </w:r>
    </w:p>
    <w:p w14:paraId="42ABB238">
      <w:pPr>
        <w:spacing w:line="300" w:lineRule="auto"/>
        <w:ind w:left="1120" w:hanging="1120"/>
        <w:jc w:val="left"/>
      </w:pPr>
      <w:r>
        <w:rPr>
          <w:rFonts w:ascii="宋体" w:hAnsi="宋体" w:eastAsia="宋体" w:cs="宋体"/>
          <w:b/>
          <w:color w:val="000000"/>
          <w:sz w:val="24"/>
        </w:rPr>
        <w:t> </w:t>
      </w:r>
    </w:p>
    <w:p w14:paraId="786029FE">
      <w:pPr>
        <w:spacing w:line="300" w:lineRule="auto"/>
        <w:ind w:left="1120" w:hanging="1120"/>
        <w:jc w:val="left"/>
      </w:pPr>
      <w:r>
        <w:rPr>
          <w:rFonts w:ascii="宋体" w:hAnsi="宋体" w:eastAsia="宋体" w:cs="宋体"/>
          <w:b/>
          <w:color w:val="000000"/>
          <w:sz w:val="24"/>
        </w:rPr>
        <w:t> </w:t>
      </w:r>
    </w:p>
    <w:p w14:paraId="10175136">
      <w:pPr>
        <w:spacing w:line="300" w:lineRule="auto"/>
        <w:jc w:val="left"/>
      </w:pPr>
      <w:r>
        <w:rPr>
          <w:rFonts w:ascii="宋体" w:hAnsi="宋体" w:eastAsia="宋体" w:cs="宋体"/>
          <w:b/>
          <w:color w:val="000000"/>
          <w:sz w:val="24"/>
        </w:rPr>
        <w:t> </w:t>
      </w:r>
    </w:p>
    <w:p w14:paraId="4FD0A29B">
      <w:pPr>
        <w:spacing w:line="300" w:lineRule="auto"/>
        <w:ind w:left="1120" w:hanging="1120"/>
        <w:jc w:val="left"/>
      </w:pPr>
      <w:r>
        <w:rPr>
          <w:rFonts w:ascii="宋体" w:hAnsi="宋体" w:eastAsia="宋体" w:cs="宋体"/>
          <w:b/>
          <w:color w:val="000000"/>
          <w:sz w:val="24"/>
        </w:rPr>
        <w:t> </w:t>
      </w:r>
    </w:p>
    <w:p w14:paraId="1BFB040C">
      <w:pPr>
        <w:spacing w:line="300" w:lineRule="auto"/>
        <w:ind w:left="1120" w:hanging="1120"/>
        <w:jc w:val="left"/>
      </w:pPr>
      <w:r>
        <w:rPr>
          <w:rFonts w:ascii="宋体" w:hAnsi="宋体" w:eastAsia="宋体" w:cs="宋体"/>
          <w:b/>
          <w:color w:val="000000"/>
          <w:sz w:val="24"/>
        </w:rPr>
        <w:t> </w:t>
      </w:r>
    </w:p>
    <w:p w14:paraId="410BEAB1">
      <w:pPr>
        <w:spacing w:line="300" w:lineRule="auto"/>
        <w:ind w:left="1120" w:hanging="1120"/>
        <w:jc w:val="left"/>
      </w:pPr>
      <w:r>
        <w:rPr>
          <w:rFonts w:ascii="宋体" w:hAnsi="宋体" w:eastAsia="宋体" w:cs="宋体"/>
          <w:b/>
          <w:color w:val="000000"/>
          <w:sz w:val="24"/>
        </w:rPr>
        <w:t> </w:t>
      </w:r>
    </w:p>
    <w:p w14:paraId="32B31A2C">
      <w:pPr>
        <w:spacing w:line="300" w:lineRule="auto"/>
        <w:ind w:left="1120" w:hanging="1120"/>
        <w:jc w:val="left"/>
      </w:pPr>
      <w:r>
        <w:rPr>
          <w:rFonts w:ascii="宋体" w:hAnsi="宋体" w:eastAsia="宋体" w:cs="宋体"/>
          <w:b/>
          <w:color w:val="000000"/>
          <w:sz w:val="24"/>
        </w:rPr>
        <w:t> </w:t>
      </w:r>
    </w:p>
    <w:p w14:paraId="476D58C5">
      <w:pPr>
        <w:spacing w:line="300" w:lineRule="auto"/>
        <w:ind w:left="1120" w:hanging="1120"/>
        <w:jc w:val="left"/>
      </w:pPr>
      <w:r>
        <w:rPr>
          <w:rFonts w:ascii="宋体" w:hAnsi="宋体" w:eastAsia="宋体" w:cs="宋体"/>
          <w:b/>
          <w:color w:val="000000"/>
          <w:sz w:val="24"/>
        </w:rPr>
        <w:t> </w:t>
      </w:r>
    </w:p>
    <w:p w14:paraId="0BEB5270">
      <w:pPr>
        <w:spacing w:line="300" w:lineRule="auto"/>
        <w:ind w:left="1120" w:hanging="1120"/>
        <w:jc w:val="left"/>
      </w:pPr>
      <w:r>
        <w:rPr>
          <w:rFonts w:ascii="宋体" w:hAnsi="宋体" w:eastAsia="宋体" w:cs="宋体"/>
          <w:b/>
          <w:color w:val="000000"/>
          <w:sz w:val="24"/>
        </w:rPr>
        <w:t> </w:t>
      </w:r>
    </w:p>
    <w:p w14:paraId="3EB7816C">
      <w:pPr>
        <w:spacing w:line="300" w:lineRule="auto"/>
        <w:ind w:left="1120" w:hanging="1120"/>
        <w:jc w:val="left"/>
      </w:pPr>
    </w:p>
    <w:p w14:paraId="051C9DA8">
      <w:pPr>
        <w:spacing w:line="300" w:lineRule="auto"/>
        <w:ind w:left="1120" w:hanging="1120"/>
        <w:jc w:val="left"/>
      </w:pPr>
      <w:r>
        <w:rPr>
          <w:rFonts w:ascii="宋体" w:hAnsi="宋体" w:eastAsia="宋体" w:cs="宋体"/>
          <w:b/>
          <w:color w:val="000000"/>
          <w:sz w:val="24"/>
        </w:rPr>
        <w:t>附件四 关于该商品房价款的计价方式、总价款、付款方式及期限的具体约定</w:t>
      </w:r>
    </w:p>
    <w:p w14:paraId="77F46206">
      <w:pPr>
        <w:spacing w:line="300" w:lineRule="auto"/>
        <w:ind w:firstLine="420" w:firstLineChars="200"/>
      </w:pPr>
      <w:r>
        <w:rPr>
          <w:rFonts w:ascii="宋体" w:hAnsi="宋体" w:eastAsia="宋体" w:cs="宋体"/>
          <w:color w:val="000000"/>
          <w:sz w:val="21"/>
          <w:u w:val="single"/>
        </w:rPr>
        <w:t>1、买受人保证有充分权利订立本合同，并有能力履行本合同约定的付款义务，包括买受人选择按揭贷款付款方式时若在约定期限内无法足额或部分获得贷款机构贷款的，买受人亦有能力自筹资金支付全部房款。同时，买受人承诺支付的前述房款而非来源于“首付贷”、个人综合消费贷款、经营性贷款、信用卡透支、房产场外机构配资等法规政策规定不得用于房款支付之资金，若有的该等性质资金全部或部分被依法退还给买受人或任何第三方，或导致银行贷款无法通过审批/取消原有审批的，即视为买受人自始未付清房价款或自始未办理银行贷款手续，买受人应承担逾期付款或逾期办理的违约责任，且出卖人有权解除合同。</w:t>
      </w:r>
    </w:p>
    <w:p w14:paraId="564F5C0D">
      <w:pPr>
        <w:spacing w:line="300" w:lineRule="auto"/>
        <w:ind w:firstLine="420" w:firstLineChars="200"/>
      </w:pPr>
      <w:r>
        <w:rPr>
          <w:rFonts w:ascii="宋体" w:hAnsi="宋体" w:eastAsia="宋体" w:cs="宋体"/>
          <w:color w:val="000000"/>
          <w:sz w:val="21"/>
          <w:u w:val="single"/>
        </w:rPr>
        <w:t>2、买受人选择贷款方式付款的，应在出卖人要求的合理期限内向银行提交贷款申请资料并按银行要求办妥所有贷款审批手续，买受人按揭贷款款项须在本合同签订后【30】日内支付至出卖人账户。因买受人原因、贷款机构原因、政策调整原因或其他非出卖人原因导致买受人需提高首付、提高贷款利率的，买受人应按贷款机构的贷款条件在出卖人指定的合理期限内办理相关手续和支付相关款项；如导致买受人直接无法申请办理贷款的，买受人须在本合同签订后30日内或出卖人另行指定期限内以其他合法资金补足付清房款。</w:t>
      </w:r>
    </w:p>
    <w:p w14:paraId="300F6B70">
      <w:pPr>
        <w:spacing w:line="300" w:lineRule="auto"/>
        <w:ind w:firstLine="420" w:firstLineChars="200"/>
      </w:pPr>
      <w:r>
        <w:rPr>
          <w:rFonts w:ascii="宋体" w:hAnsi="宋体" w:eastAsia="宋体" w:cs="宋体"/>
          <w:color w:val="000000"/>
          <w:sz w:val="21"/>
          <w:u w:val="single"/>
        </w:rPr>
        <w:t>买受人逾期提交任一项贷款申请资料或办妥上述贷款手续或另行以其他合法资金补足付清房款的，均构成买受人违约，买受人应按每日未付房款额的万分之一向出卖人支付逾期期间违约金；逾期超过【90】日仍未办妥并付清全部房款的，出卖人有权单方解除合同，买受人除按前述约定支付违约金外还应另按《商品房买卖合同》总金额的10%向出卖人支付违约金，出卖人有权将该商品房另行出售，并有权从买受人已付房款中直接扣除其应付的违约金，剩余房款无息退还给买受人；若出卖人不解除合同的，买受人应自逾期之日起至实际付款日止每日按未付房款额的万分之一向出卖人支付违约金。</w:t>
      </w:r>
    </w:p>
    <w:p w14:paraId="7C5EFB68">
      <w:pPr>
        <w:spacing w:line="300" w:lineRule="auto"/>
        <w:ind w:firstLine="420" w:firstLineChars="200"/>
        <w:jc w:val="left"/>
      </w:pPr>
      <w:r>
        <w:rPr>
          <w:rFonts w:ascii="宋体" w:hAnsi="宋体" w:eastAsia="宋体" w:cs="宋体"/>
          <w:color w:val="000000"/>
          <w:sz w:val="21"/>
          <w:u w:val="single"/>
        </w:rPr>
        <w:t>3、买受人以分期付款方式支付房款的，如买受人未按本合同第七条分期付款的约定足额支付任何一期款项的，逾期付款在90天内则按逾期付款金额每日万分之一向出卖人支付违约金，合同继续履行；逾期付款超过90天的，则出卖人有权单方解除合同，买受人除按前述约定支付违约金外还应另按《商品房买卖合同》总金额的10%向出卖人支付违约金，出卖人有权将该商品房另行出售，并有权从买受人已付房款中直接扣除其应付的违约金，剩余房款无息退还给买受人。若出卖人不解除合同的，买受人应自逾期之日起至实际付款日止每日按未付房款额的万分之一向出卖人支付违约金。</w:t>
      </w:r>
    </w:p>
    <w:p w14:paraId="267C4FA1">
      <w:pPr>
        <w:spacing w:line="300" w:lineRule="auto"/>
        <w:ind w:firstLine="420" w:firstLineChars="200"/>
      </w:pPr>
      <w:r>
        <w:rPr>
          <w:rFonts w:ascii="宋体" w:hAnsi="宋体" w:eastAsia="宋体" w:cs="宋体"/>
          <w:color w:val="000000"/>
          <w:sz w:val="21"/>
          <w:u w:val="single"/>
        </w:rPr>
        <w:t>4、如因买受人违约，当买受人后续支付款项不足清偿全部债务的，双方同意买受人所支付的款项按照以下顺序抵充：（一）出卖人为实现债权的相关费用；（二）利息或违约金；（三）应付房款；（四）其他买受人应付款。</w:t>
      </w:r>
    </w:p>
    <w:p w14:paraId="6B87FF68">
      <w:pPr>
        <w:spacing w:line="300" w:lineRule="auto"/>
        <w:ind w:firstLine="420" w:firstLineChars="200"/>
      </w:pPr>
      <w:r>
        <w:rPr>
          <w:rFonts w:ascii="宋体" w:hAnsi="宋体" w:eastAsia="宋体" w:cs="宋体"/>
          <w:color w:val="000000"/>
          <w:sz w:val="21"/>
          <w:u w:val="single"/>
        </w:rPr>
        <w:t>5、本合同第八条第1款第（2）项之“累计应付款”系指买受人累计已付款及累计未付款的总和。</w:t>
      </w:r>
    </w:p>
    <w:p w14:paraId="00F77917">
      <w:pPr>
        <w:spacing w:line="300" w:lineRule="auto"/>
        <w:ind w:firstLine="420" w:firstLineChars="200"/>
      </w:pPr>
      <w:r>
        <w:rPr>
          <w:rFonts w:ascii="宋体" w:hAnsi="宋体" w:eastAsia="宋体" w:cs="宋体"/>
          <w:color w:val="000000"/>
          <w:sz w:val="21"/>
          <w:u w:val="single"/>
        </w:rPr>
        <w:t>6、商品房为装修交付，买受人在订立本合同前已经对该商品房总价款及本合同附件约定的装饰设备标准充分了解，买受人确认不会在订立本合同后要求取消、变更该商品房的装修部分，或要求撤销、变更装修部分价款（若有）。本合同约定的装修部分价款（若有）为该商品房总价款的组成部分，不同楼宇、不同户型、不同建筑面积的商品房，其装修部分价款以及装饰设备标准可能并不完全相同，且相同价款及标准之具体配置（如规格、型号、参数）亦可能不同。本合同约定的装修部分价款并非指装修成本价，而是包括但不限于该房屋建筑面积范围（包括套内建筑面积和公摊建筑面积）内装修部分的设计费、材料设备费、施工费、安装费、监理费、成品保护费、运输费、包装费、搬运费、调试费、规费、税金、管理费、保险费、利润等所有费用。</w:t>
      </w:r>
    </w:p>
    <w:p w14:paraId="679B3E11">
      <w:pPr>
        <w:spacing w:line="300" w:lineRule="auto"/>
        <w:ind w:firstLine="420" w:firstLineChars="200"/>
      </w:pPr>
      <w:r>
        <w:rPr>
          <w:rFonts w:ascii="宋体" w:hAnsi="宋体" w:eastAsia="宋体" w:cs="宋体"/>
          <w:color w:val="000000"/>
          <w:sz w:val="21"/>
          <w:u w:val="single"/>
        </w:rPr>
        <w:t>7、出卖人的雇员、代理商、包销商等均无权代收买卖合同约定的定金、购房款、违约金、购房税费、专项维修资金等费用，上述款项应支付至出卖人指定账户方为有效支付。</w:t>
      </w:r>
    </w:p>
    <w:p w14:paraId="43D13C6B">
      <w:pPr>
        <w:spacing w:line="300" w:lineRule="auto"/>
        <w:jc w:val="left"/>
      </w:pPr>
    </w:p>
    <w:p w14:paraId="7AF57921">
      <w:pPr>
        <w:spacing w:line="300" w:lineRule="auto"/>
        <w:jc w:val="left"/>
      </w:pPr>
      <w:r>
        <w:rPr>
          <w:rFonts w:ascii="宋体" w:hAnsi="宋体" w:eastAsia="宋体" w:cs="宋体"/>
          <w:b/>
          <w:color w:val="000000"/>
          <w:sz w:val="24"/>
        </w:rPr>
        <w:t>附件五  关于本项目内相关设施、设备的具体约定</w:t>
      </w:r>
    </w:p>
    <w:p w14:paraId="59006E2B">
      <w:pPr>
        <w:spacing w:line="300" w:lineRule="auto"/>
        <w:jc w:val="left"/>
      </w:pPr>
      <w:r>
        <w:rPr>
          <w:rFonts w:ascii="宋体" w:hAnsi="宋体" w:eastAsia="宋体" w:cs="宋体"/>
          <w:color w:val="000000"/>
          <w:sz w:val="24"/>
        </w:rPr>
        <w:t>1、相关设施的位置及用途</w:t>
      </w:r>
    </w:p>
    <w:p w14:paraId="0BEB1964">
      <w:pPr>
        <w:spacing w:line="300" w:lineRule="auto"/>
        <w:jc w:val="left"/>
      </w:pPr>
      <w:r>
        <w:rPr>
          <w:rFonts w:ascii="宋体" w:hAnsi="宋体" w:eastAsia="宋体" w:cs="宋体"/>
          <w:color w:val="000000"/>
          <w:sz w:val="24"/>
        </w:rPr>
        <w:t>2.其他约定</w:t>
      </w:r>
    </w:p>
    <w:p w14:paraId="406BF0B7">
      <w:pPr>
        <w:spacing w:before="50" w:line="400" w:lineRule="exact"/>
        <w:ind w:firstLine="420" w:firstLineChars="200"/>
      </w:pPr>
      <w:r>
        <w:rPr>
          <w:rFonts w:ascii="宋体" w:hAnsi="宋体" w:eastAsia="宋体" w:cs="宋体"/>
          <w:color w:val="000000"/>
          <w:sz w:val="21"/>
          <w:u w:val="single"/>
        </w:rPr>
        <w:t>（1）在不影响相关设施使用功能的情形下，出卖人有权对其位置进行调整或进行改造。</w:t>
      </w:r>
    </w:p>
    <w:p w14:paraId="307DAB72">
      <w:pPr>
        <w:spacing w:before="50" w:line="400" w:lineRule="exact"/>
        <w:ind w:firstLine="420" w:firstLineChars="200"/>
      </w:pPr>
      <w:r>
        <w:rPr>
          <w:rFonts w:ascii="宋体" w:hAnsi="宋体" w:eastAsia="宋体" w:cs="宋体"/>
          <w:color w:val="000000"/>
          <w:sz w:val="21"/>
          <w:u w:val="single"/>
        </w:rPr>
        <w:t>（2）燃气、有线（数字）电视、电话、宽带、自来水等配套设施需由买受人向该设施的服务提供商办理开通申请使用手续并缴纳相关费用，各项服务的具体开通时间，将由服务提供商决定。因买受人未申请开通或服务提供商未提供服务导致买受人未能使用的，出卖人不承担责任。出卖人所出售的商品房的价格内，不包含燃气、有线电视、电话、宽带网络初装费/安装费，如有上述费用由买受人自行承担。如前述基础设施之全部或部分因项目全装修等原因由出卖人于交付前开通并垫付相关费用的，买受人应于房屋交付时向出卖人偿付出卖人已经垫付的费用。</w:t>
      </w:r>
    </w:p>
    <w:p w14:paraId="371848EC">
      <w:pPr>
        <w:spacing w:line="300" w:lineRule="auto"/>
        <w:jc w:val="left"/>
      </w:pPr>
      <w:r>
        <w:rPr>
          <w:rFonts w:ascii="宋体" w:hAnsi="宋体" w:eastAsia="宋体" w:cs="宋体"/>
          <w:color w:val="000000"/>
          <w:sz w:val="24"/>
        </w:rPr>
        <w:t> </w:t>
      </w:r>
    </w:p>
    <w:p w14:paraId="62EB9367">
      <w:pPr>
        <w:spacing w:line="300" w:lineRule="auto"/>
        <w:jc w:val="left"/>
      </w:pPr>
      <w:r>
        <w:rPr>
          <w:rFonts w:ascii="宋体" w:hAnsi="宋体" w:eastAsia="宋体" w:cs="宋体"/>
          <w:color w:val="000000"/>
          <w:sz w:val="24"/>
        </w:rPr>
        <w:t> </w:t>
      </w:r>
    </w:p>
    <w:p w14:paraId="40AD30B4">
      <w:pPr>
        <w:spacing w:line="300" w:lineRule="auto"/>
        <w:jc w:val="left"/>
      </w:pPr>
    </w:p>
    <w:p w14:paraId="1F4DD8BE">
      <w:pPr>
        <w:spacing w:line="300" w:lineRule="auto"/>
        <w:jc w:val="left"/>
      </w:pPr>
      <w:r>
        <w:rPr>
          <w:rFonts w:ascii="宋体" w:hAnsi="宋体" w:eastAsia="宋体" w:cs="宋体"/>
          <w:b/>
          <w:color w:val="000000"/>
          <w:sz w:val="24"/>
        </w:rPr>
        <w:t>附件六 关于装饰装修及相关设备标准的约定</w:t>
      </w:r>
    </w:p>
    <w:p w14:paraId="7AC11A18">
      <w:pPr>
        <w:spacing w:line="300" w:lineRule="auto"/>
        <w:ind w:firstLine="480"/>
      </w:pPr>
      <w:r>
        <w:rPr>
          <w:rFonts w:ascii="宋体" w:hAnsi="宋体" w:eastAsia="宋体" w:cs="宋体"/>
          <w:color w:val="000000"/>
          <w:sz w:val="24"/>
        </w:rPr>
        <w:t>交付的商品房达不到本附件约定装修标准的，按照本合同第十六条第（三）款约定处理。出卖人未经双方约定增加的装置、装修、装饰，视为无条件赠送给买受人。</w:t>
      </w:r>
    </w:p>
    <w:p w14:paraId="50512108">
      <w:pPr>
        <w:spacing w:line="300" w:lineRule="auto"/>
        <w:ind w:left="480" w:right="420"/>
      </w:pPr>
      <w:r>
        <w:rPr>
          <w:rFonts w:ascii="宋体" w:hAnsi="宋体" w:eastAsia="宋体" w:cs="宋体"/>
          <w:color w:val="000000"/>
          <w:sz w:val="24"/>
        </w:rPr>
        <w:t xml:space="preserve">双方就装饰装修主要材料和设备的品牌、产地、规格、数量等内容约定如下： </w:t>
      </w:r>
    </w:p>
    <w:p w14:paraId="1B77A80D">
      <w:pPr>
        <w:spacing w:line="300" w:lineRule="auto"/>
        <w:ind w:right="420"/>
        <w:jc w:val="left"/>
      </w:pPr>
      <w:r>
        <w:rPr>
          <w:rFonts w:ascii="宋体" w:hAnsi="宋体" w:eastAsia="宋体" w:cs="宋体"/>
          <w:color w:val="000000"/>
          <w:sz w:val="24"/>
        </w:rPr>
        <w:t xml:space="preserve">1.外墙：【 </w:t>
      </w:r>
      <w:r>
        <w:rPr>
          <w:rFonts w:ascii="宋体" w:hAnsi="宋体" w:eastAsia="宋体" w:cs="宋体"/>
          <w:color w:val="000000"/>
          <w:sz w:val="24"/>
          <w:u w:val="single"/>
        </w:rPr>
        <w:t xml:space="preserve">  /  </w:t>
      </w:r>
      <w:r>
        <w:rPr>
          <w:rFonts w:ascii="宋体" w:hAnsi="宋体" w:eastAsia="宋体" w:cs="宋体"/>
          <w:color w:val="000000"/>
          <w:sz w:val="24"/>
        </w:rPr>
        <w:t>】；</w:t>
      </w:r>
    </w:p>
    <w:p w14:paraId="43514508">
      <w:pPr>
        <w:spacing w:line="300" w:lineRule="auto"/>
        <w:ind w:right="420"/>
        <w:jc w:val="left"/>
      </w:pPr>
      <w:r>
        <w:rPr>
          <w:rFonts w:ascii="宋体" w:hAnsi="宋体" w:eastAsia="宋体" w:cs="宋体"/>
          <w:color w:val="000000"/>
          <w:sz w:val="24"/>
        </w:rPr>
        <w:t>2. 起居室：</w:t>
      </w:r>
    </w:p>
    <w:p w14:paraId="3BE401FD">
      <w:pPr>
        <w:spacing w:line="300" w:lineRule="auto"/>
        <w:ind w:right="420"/>
        <w:jc w:val="left"/>
      </w:pPr>
      <w:r>
        <w:rPr>
          <w:rFonts w:ascii="宋体" w:hAnsi="宋体" w:eastAsia="宋体" w:cs="宋体"/>
          <w:color w:val="000000"/>
          <w:sz w:val="24"/>
        </w:rPr>
        <w:t>（1）内墙：【</w:t>
      </w:r>
      <w:r>
        <w:rPr>
          <w:rFonts w:ascii="宋体" w:hAnsi="宋体" w:eastAsia="宋体" w:cs="宋体"/>
          <w:color w:val="000000"/>
          <w:sz w:val="24"/>
          <w:u w:val="single"/>
        </w:rPr>
        <w:t xml:space="preserve">  /    </w:t>
      </w:r>
      <w:r>
        <w:rPr>
          <w:rFonts w:ascii="宋体" w:hAnsi="宋体" w:eastAsia="宋体" w:cs="宋体"/>
          <w:color w:val="000000"/>
          <w:sz w:val="24"/>
        </w:rPr>
        <w:t>】</w:t>
      </w:r>
    </w:p>
    <w:p w14:paraId="64CADDEA">
      <w:pPr>
        <w:spacing w:line="300" w:lineRule="auto"/>
        <w:jc w:val="left"/>
      </w:pPr>
      <w:r>
        <w:rPr>
          <w:rFonts w:ascii="宋体" w:hAnsi="宋体" w:eastAsia="宋体" w:cs="宋体"/>
          <w:color w:val="000000"/>
          <w:sz w:val="24"/>
        </w:rPr>
        <w:t>（2）顶棚：【</w:t>
      </w:r>
      <w:r>
        <w:rPr>
          <w:rFonts w:ascii="宋体" w:hAnsi="宋体" w:eastAsia="宋体" w:cs="宋体"/>
          <w:color w:val="000000"/>
          <w:sz w:val="24"/>
          <w:u w:val="single"/>
        </w:rPr>
        <w:t xml:space="preserve">  /    </w:t>
      </w:r>
      <w:r>
        <w:rPr>
          <w:rFonts w:ascii="宋体" w:hAnsi="宋体" w:eastAsia="宋体" w:cs="宋体"/>
          <w:color w:val="000000"/>
          <w:sz w:val="24"/>
        </w:rPr>
        <w:t>】</w:t>
      </w:r>
    </w:p>
    <w:p w14:paraId="7DE4A508">
      <w:pPr>
        <w:spacing w:line="300" w:lineRule="auto"/>
        <w:jc w:val="left"/>
      </w:pPr>
      <w:r>
        <w:rPr>
          <w:rFonts w:ascii="宋体" w:hAnsi="宋体" w:eastAsia="宋体" w:cs="宋体"/>
          <w:color w:val="000000"/>
          <w:sz w:val="24"/>
        </w:rPr>
        <w:t xml:space="preserve">（3）室内地面：【 </w:t>
      </w:r>
      <w:r>
        <w:rPr>
          <w:rFonts w:ascii="宋体" w:hAnsi="宋体" w:eastAsia="宋体" w:cs="宋体"/>
          <w:color w:val="000000"/>
          <w:sz w:val="24"/>
          <w:u w:val="single"/>
        </w:rPr>
        <w:t xml:space="preserve">/ </w:t>
      </w:r>
      <w:r>
        <w:rPr>
          <w:rFonts w:ascii="宋体" w:hAnsi="宋体" w:eastAsia="宋体" w:cs="宋体"/>
          <w:color w:val="000000"/>
          <w:sz w:val="24"/>
        </w:rPr>
        <w:t xml:space="preserve">  】</w:t>
      </w:r>
    </w:p>
    <w:p w14:paraId="6B20D25B">
      <w:pPr>
        <w:spacing w:line="300" w:lineRule="auto"/>
        <w:jc w:val="left"/>
      </w:pPr>
      <w:r>
        <w:rPr>
          <w:rFonts w:ascii="宋体" w:hAnsi="宋体" w:eastAsia="宋体" w:cs="宋体"/>
          <w:color w:val="000000"/>
          <w:sz w:val="24"/>
        </w:rPr>
        <w:t>3. 厨房：</w:t>
      </w:r>
    </w:p>
    <w:p w14:paraId="6273C896">
      <w:pPr>
        <w:spacing w:line="300" w:lineRule="auto"/>
        <w:jc w:val="left"/>
      </w:pPr>
      <w:r>
        <w:rPr>
          <w:rFonts w:ascii="宋体" w:hAnsi="宋体" w:eastAsia="宋体" w:cs="宋体"/>
          <w:color w:val="000000"/>
          <w:sz w:val="24"/>
        </w:rPr>
        <w:t>（1）地面：【</w:t>
      </w:r>
      <w:r>
        <w:rPr>
          <w:rFonts w:ascii="宋体" w:hAnsi="宋体" w:eastAsia="宋体" w:cs="宋体"/>
          <w:color w:val="000000"/>
          <w:sz w:val="24"/>
          <w:u w:val="single"/>
        </w:rPr>
        <w:t xml:space="preserve"> /  </w:t>
      </w:r>
      <w:r>
        <w:rPr>
          <w:rFonts w:ascii="宋体" w:hAnsi="宋体" w:eastAsia="宋体" w:cs="宋体"/>
          <w:color w:val="000000"/>
          <w:sz w:val="24"/>
        </w:rPr>
        <w:t>】</w:t>
      </w:r>
    </w:p>
    <w:p w14:paraId="78308854">
      <w:pPr>
        <w:spacing w:line="300" w:lineRule="auto"/>
        <w:jc w:val="left"/>
      </w:pPr>
      <w:r>
        <w:rPr>
          <w:rFonts w:ascii="宋体" w:hAnsi="宋体" w:eastAsia="宋体" w:cs="宋体"/>
          <w:color w:val="000000"/>
          <w:sz w:val="24"/>
        </w:rPr>
        <w:t>（2）墙面：【</w:t>
      </w:r>
      <w:r>
        <w:rPr>
          <w:rFonts w:ascii="宋体" w:hAnsi="宋体" w:eastAsia="宋体" w:cs="宋体"/>
          <w:color w:val="000000"/>
          <w:sz w:val="24"/>
          <w:u w:val="single"/>
        </w:rPr>
        <w:t xml:space="preserve"> /  </w:t>
      </w:r>
      <w:r>
        <w:rPr>
          <w:rFonts w:ascii="宋体" w:hAnsi="宋体" w:eastAsia="宋体" w:cs="宋体"/>
          <w:color w:val="000000"/>
          <w:sz w:val="24"/>
        </w:rPr>
        <w:t>】</w:t>
      </w:r>
    </w:p>
    <w:p w14:paraId="2B2D5EFF">
      <w:pPr>
        <w:spacing w:line="300" w:lineRule="auto"/>
        <w:jc w:val="left"/>
      </w:pPr>
      <w:r>
        <w:rPr>
          <w:rFonts w:ascii="宋体" w:hAnsi="宋体" w:eastAsia="宋体" w:cs="宋体"/>
          <w:color w:val="000000"/>
          <w:sz w:val="24"/>
        </w:rPr>
        <w:t>（3）顶棚：【</w:t>
      </w:r>
      <w:r>
        <w:rPr>
          <w:rFonts w:ascii="宋体" w:hAnsi="宋体" w:eastAsia="宋体" w:cs="宋体"/>
          <w:color w:val="000000"/>
          <w:sz w:val="24"/>
          <w:u w:val="single"/>
        </w:rPr>
        <w:t xml:space="preserve">  / </w:t>
      </w:r>
      <w:r>
        <w:rPr>
          <w:rFonts w:ascii="宋体" w:hAnsi="宋体" w:eastAsia="宋体" w:cs="宋体"/>
          <w:color w:val="000000"/>
          <w:sz w:val="24"/>
        </w:rPr>
        <w:t>】</w:t>
      </w:r>
    </w:p>
    <w:p w14:paraId="66217BE9">
      <w:pPr>
        <w:tabs>
          <w:tab w:val="left" w:pos="8740"/>
        </w:tabs>
        <w:spacing w:line="300" w:lineRule="auto"/>
        <w:jc w:val="left"/>
      </w:pPr>
      <w:r>
        <w:rPr>
          <w:rFonts w:ascii="宋体" w:hAnsi="宋体" w:eastAsia="宋体" w:cs="宋体"/>
          <w:color w:val="000000"/>
          <w:sz w:val="24"/>
        </w:rPr>
        <w:t>（4）厨具：</w:t>
      </w:r>
      <w:r>
        <w:rPr>
          <w:rFonts w:ascii="宋体" w:hAnsi="宋体" w:eastAsia="宋体" w:cs="宋体"/>
          <w:color w:val="000000"/>
          <w:sz w:val="24"/>
          <w:u w:val="single"/>
        </w:rPr>
        <w:t xml:space="preserve">  /      </w:t>
      </w:r>
      <w:r>
        <w:rPr>
          <w:rFonts w:ascii="宋体" w:hAnsi="宋体" w:eastAsia="宋体" w:cs="宋体"/>
          <w:color w:val="000000"/>
          <w:sz w:val="24"/>
        </w:rPr>
        <w:t xml:space="preserve">； </w:t>
      </w:r>
    </w:p>
    <w:p w14:paraId="6B67BB87">
      <w:pPr>
        <w:snapToGrid w:val="0"/>
        <w:spacing w:line="300" w:lineRule="auto"/>
        <w:jc w:val="left"/>
      </w:pPr>
      <w:r>
        <w:rPr>
          <w:rFonts w:ascii="宋体" w:hAnsi="宋体" w:eastAsia="宋体" w:cs="宋体"/>
          <w:color w:val="000000"/>
          <w:sz w:val="24"/>
        </w:rPr>
        <w:t xml:space="preserve">4. 卫生间： </w:t>
      </w:r>
    </w:p>
    <w:p w14:paraId="1DE987A4">
      <w:pPr>
        <w:snapToGrid w:val="0"/>
        <w:spacing w:line="300" w:lineRule="auto"/>
        <w:jc w:val="left"/>
      </w:pPr>
      <w:r>
        <w:rPr>
          <w:rFonts w:ascii="宋体" w:hAnsi="宋体" w:eastAsia="宋体" w:cs="宋体"/>
          <w:color w:val="000000"/>
          <w:sz w:val="24"/>
        </w:rPr>
        <w:t>（1）地面：【</w:t>
      </w:r>
      <w:r>
        <w:rPr>
          <w:rFonts w:ascii="宋体" w:hAnsi="宋体" w:eastAsia="宋体" w:cs="宋体"/>
          <w:color w:val="000000"/>
          <w:sz w:val="24"/>
          <w:u w:val="single"/>
        </w:rPr>
        <w:t xml:space="preserve"> /  </w:t>
      </w:r>
      <w:r>
        <w:rPr>
          <w:rFonts w:ascii="宋体" w:hAnsi="宋体" w:eastAsia="宋体" w:cs="宋体"/>
          <w:color w:val="000000"/>
          <w:sz w:val="24"/>
        </w:rPr>
        <w:t>】</w:t>
      </w:r>
    </w:p>
    <w:p w14:paraId="1210FC64">
      <w:pPr>
        <w:snapToGrid w:val="0"/>
        <w:spacing w:line="300" w:lineRule="auto"/>
        <w:jc w:val="left"/>
      </w:pPr>
      <w:r>
        <w:rPr>
          <w:rFonts w:ascii="宋体" w:hAnsi="宋体" w:eastAsia="宋体" w:cs="宋体"/>
          <w:color w:val="000000"/>
          <w:sz w:val="24"/>
        </w:rPr>
        <w:t xml:space="preserve">（2）墙面：【 </w:t>
      </w:r>
      <w:r>
        <w:rPr>
          <w:rFonts w:ascii="宋体" w:hAnsi="宋体" w:eastAsia="宋体" w:cs="宋体"/>
          <w:color w:val="000000"/>
          <w:sz w:val="24"/>
          <w:u w:val="single"/>
        </w:rPr>
        <w:t xml:space="preserve"> /  </w:t>
      </w:r>
      <w:r>
        <w:rPr>
          <w:rFonts w:ascii="宋体" w:hAnsi="宋体" w:eastAsia="宋体" w:cs="宋体"/>
          <w:color w:val="000000"/>
          <w:sz w:val="24"/>
        </w:rPr>
        <w:t>】</w:t>
      </w:r>
    </w:p>
    <w:p w14:paraId="179BE75C">
      <w:pPr>
        <w:snapToGrid w:val="0"/>
        <w:spacing w:line="300" w:lineRule="auto"/>
        <w:jc w:val="left"/>
      </w:pPr>
      <w:r>
        <w:rPr>
          <w:rFonts w:ascii="宋体" w:hAnsi="宋体" w:eastAsia="宋体" w:cs="宋体"/>
          <w:color w:val="000000"/>
          <w:sz w:val="24"/>
        </w:rPr>
        <w:t xml:space="preserve">（3）顶棚：【 </w:t>
      </w:r>
      <w:r>
        <w:rPr>
          <w:rFonts w:ascii="宋体" w:hAnsi="宋体" w:eastAsia="宋体" w:cs="宋体"/>
          <w:color w:val="000000"/>
          <w:sz w:val="24"/>
          <w:u w:val="single"/>
        </w:rPr>
        <w:t xml:space="preserve"> /  </w:t>
      </w:r>
      <w:r>
        <w:rPr>
          <w:rFonts w:ascii="宋体" w:hAnsi="宋体" w:eastAsia="宋体" w:cs="宋体"/>
          <w:color w:val="000000"/>
          <w:sz w:val="24"/>
        </w:rPr>
        <w:t>】</w:t>
      </w:r>
    </w:p>
    <w:p w14:paraId="020C28C6">
      <w:pPr>
        <w:spacing w:line="300" w:lineRule="auto"/>
        <w:jc w:val="left"/>
      </w:pPr>
      <w:r>
        <w:rPr>
          <w:rFonts w:ascii="宋体" w:hAnsi="宋体" w:eastAsia="宋体" w:cs="宋体"/>
          <w:color w:val="000000"/>
          <w:sz w:val="24"/>
        </w:rPr>
        <w:t>（4）卫生器具</w:t>
      </w:r>
      <w:r>
        <w:rPr>
          <w:rFonts w:ascii="宋体" w:hAnsi="宋体" w:eastAsia="宋体" w:cs="宋体"/>
          <w:color w:val="000000"/>
          <w:sz w:val="24"/>
          <w:u w:val="single"/>
        </w:rPr>
        <w:t xml:space="preserve">  /     ；</w:t>
      </w:r>
    </w:p>
    <w:p w14:paraId="6D4995D8">
      <w:pPr>
        <w:spacing w:line="300" w:lineRule="auto"/>
        <w:jc w:val="left"/>
      </w:pPr>
      <w:r>
        <w:rPr>
          <w:rFonts w:ascii="宋体" w:hAnsi="宋体" w:eastAsia="宋体" w:cs="宋体"/>
          <w:color w:val="000000"/>
          <w:sz w:val="24"/>
        </w:rPr>
        <w:t>5 .阳台：</w:t>
      </w:r>
      <w:r>
        <w:rPr>
          <w:rFonts w:ascii="宋体" w:hAnsi="宋体" w:eastAsia="宋体" w:cs="宋体"/>
          <w:color w:val="000000"/>
          <w:sz w:val="24"/>
          <w:u w:val="single"/>
        </w:rPr>
        <w:t xml:space="preserve">    /     ； </w:t>
      </w:r>
    </w:p>
    <w:p w14:paraId="0D6DF036">
      <w:pPr>
        <w:spacing w:line="300" w:lineRule="auto"/>
        <w:jc w:val="left"/>
      </w:pPr>
      <w:r>
        <w:rPr>
          <w:rFonts w:ascii="宋体" w:hAnsi="宋体" w:eastAsia="宋体" w:cs="宋体"/>
          <w:color w:val="000000"/>
          <w:sz w:val="24"/>
        </w:rPr>
        <w:t>6.电梯：</w:t>
      </w:r>
    </w:p>
    <w:p w14:paraId="58FAC410">
      <w:pPr>
        <w:spacing w:line="300" w:lineRule="auto"/>
        <w:jc w:val="left"/>
      </w:pPr>
      <w:r>
        <w:rPr>
          <w:rFonts w:ascii="宋体" w:hAnsi="宋体" w:eastAsia="宋体" w:cs="宋体"/>
          <w:color w:val="000000"/>
          <w:sz w:val="24"/>
        </w:rPr>
        <w:t>（1）品牌：</w:t>
      </w:r>
      <w:r>
        <w:rPr>
          <w:rFonts w:ascii="宋体" w:hAnsi="宋体" w:eastAsia="宋体" w:cs="宋体"/>
          <w:color w:val="000000"/>
          <w:sz w:val="24"/>
          <w:u w:val="single"/>
        </w:rPr>
        <w:t xml:space="preserve">  /     </w:t>
      </w:r>
    </w:p>
    <w:p w14:paraId="04596779">
      <w:pPr>
        <w:spacing w:line="300" w:lineRule="auto"/>
        <w:jc w:val="left"/>
      </w:pPr>
      <w:r>
        <w:rPr>
          <w:rFonts w:ascii="宋体" w:hAnsi="宋体" w:eastAsia="宋体" w:cs="宋体"/>
          <w:color w:val="000000"/>
          <w:sz w:val="24"/>
        </w:rPr>
        <w:t>（2）型号：</w:t>
      </w:r>
      <w:r>
        <w:rPr>
          <w:rFonts w:ascii="宋体" w:hAnsi="宋体" w:eastAsia="宋体" w:cs="宋体"/>
          <w:color w:val="000000"/>
          <w:sz w:val="24"/>
          <w:u w:val="single"/>
        </w:rPr>
        <w:t xml:space="preserve">   /    </w:t>
      </w:r>
    </w:p>
    <w:p w14:paraId="0A9D921A">
      <w:pPr>
        <w:spacing w:line="300" w:lineRule="auto"/>
        <w:jc w:val="left"/>
      </w:pPr>
      <w:r>
        <w:rPr>
          <w:rFonts w:ascii="宋体" w:hAnsi="宋体" w:eastAsia="宋体" w:cs="宋体"/>
          <w:color w:val="000000"/>
          <w:sz w:val="24"/>
        </w:rPr>
        <w:t>7.管道：</w:t>
      </w:r>
      <w:r>
        <w:rPr>
          <w:rFonts w:ascii="宋体" w:hAnsi="宋体" w:eastAsia="宋体" w:cs="宋体"/>
          <w:color w:val="000000"/>
          <w:sz w:val="24"/>
          <w:u w:val="single"/>
        </w:rPr>
        <w:t xml:space="preserve">     /     </w:t>
      </w:r>
      <w:r>
        <w:rPr>
          <w:rFonts w:ascii="宋体" w:hAnsi="宋体" w:eastAsia="宋体" w:cs="宋体"/>
          <w:i/>
          <w:color w:val="000000"/>
          <w:sz w:val="24"/>
          <w:u w:val="single"/>
        </w:rPr>
        <w:t xml:space="preserve"> </w:t>
      </w:r>
    </w:p>
    <w:p w14:paraId="016AA20D">
      <w:pPr>
        <w:spacing w:line="300" w:lineRule="auto"/>
        <w:jc w:val="left"/>
      </w:pPr>
      <w:r>
        <w:rPr>
          <w:rFonts w:ascii="宋体" w:hAnsi="宋体" w:eastAsia="宋体" w:cs="宋体"/>
          <w:color w:val="000000"/>
          <w:sz w:val="24"/>
        </w:rPr>
        <w:t>8.窗户：</w:t>
      </w:r>
      <w:r>
        <w:rPr>
          <w:rFonts w:ascii="宋体" w:hAnsi="宋体" w:eastAsia="宋体" w:cs="宋体"/>
          <w:color w:val="000000"/>
          <w:sz w:val="24"/>
          <w:u w:val="single"/>
        </w:rPr>
        <w:t xml:space="preserve">     /       </w:t>
      </w:r>
    </w:p>
    <w:p w14:paraId="6757FD4F">
      <w:pPr>
        <w:spacing w:line="300" w:lineRule="auto"/>
        <w:jc w:val="left"/>
      </w:pPr>
      <w:r>
        <w:rPr>
          <w:rFonts w:ascii="宋体" w:hAnsi="宋体" w:eastAsia="宋体" w:cs="宋体"/>
          <w:color w:val="000000"/>
          <w:sz w:val="24"/>
        </w:rPr>
        <w:t>9.其他：</w:t>
      </w:r>
    </w:p>
    <w:p w14:paraId="2018DCF5">
      <w:pPr>
        <w:spacing w:line="300" w:lineRule="auto"/>
        <w:jc w:val="left"/>
      </w:pPr>
      <w:r>
        <w:rPr>
          <w:rFonts w:ascii="宋体" w:hAnsi="宋体" w:eastAsia="宋体" w:cs="宋体"/>
          <w:color w:val="000000"/>
          <w:sz w:val="24"/>
          <w:u w:val="single"/>
        </w:rPr>
        <w:t xml:space="preserve">空调系统： /     </w:t>
      </w:r>
    </w:p>
    <w:p w14:paraId="4443AAF1">
      <w:pPr>
        <w:snapToGrid w:val="0"/>
        <w:spacing w:line="300" w:lineRule="auto"/>
      </w:pPr>
      <w:r>
        <w:rPr>
          <w:rFonts w:ascii="宋体" w:hAnsi="宋体" w:eastAsia="宋体" w:cs="宋体"/>
          <w:color w:val="000000"/>
          <w:sz w:val="24"/>
          <w:u w:val="single"/>
        </w:rPr>
        <w:t xml:space="preserve">10.       /       </w:t>
      </w:r>
    </w:p>
    <w:p w14:paraId="720E108D"/>
    <w:p w14:paraId="15DFBE4F"/>
    <w:tbl>
      <w:tblPr>
        <w:tblStyle w:val="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0"/>
        <w:gridCol w:w="1320"/>
        <w:gridCol w:w="1320"/>
        <w:gridCol w:w="2340"/>
        <w:gridCol w:w="1545"/>
        <w:gridCol w:w="1050"/>
      </w:tblGrid>
      <w:tr w14:paraId="4002C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0" w:type="dxa"/>
            <w:gridSpan w:val="3"/>
            <w:tcBorders>
              <w:top w:val="single" w:color="000000" w:sz="8" w:space="0"/>
              <w:left w:val="single" w:color="000000" w:sz="8" w:space="0"/>
              <w:bottom w:val="single" w:color="000000" w:sz="8" w:space="0"/>
              <w:right w:val="single" w:color="000000" w:sz="8" w:space="0"/>
            </w:tcBorders>
            <w:tcMar>
              <w:top w:w="32" w:type="dxa"/>
              <w:left w:w="64" w:type="dxa"/>
              <w:bottom w:w="32" w:type="dxa"/>
              <w:right w:w="64" w:type="dxa"/>
            </w:tcMar>
            <w:vAlign w:val="center"/>
          </w:tcPr>
          <w:p w14:paraId="712B7457">
            <w:pPr>
              <w:snapToGrid w:val="0"/>
              <w:jc w:val="center"/>
              <w:rPr>
                <w:rFonts w:asciiTheme="minorHAnsi" w:hAnsiTheme="minorHAnsi" w:cstheme="minorBidi"/>
                <w:szCs w:val="22"/>
                <w:highlight w:val="none"/>
              </w:rPr>
            </w:pPr>
            <w:r>
              <w:rPr>
                <w:rFonts w:ascii="宋体" w:hAnsi="宋体" w:eastAsia="宋体" w:cs="宋体"/>
                <w:b/>
                <w:color w:val="000000"/>
                <w:sz w:val="24"/>
                <w:szCs w:val="22"/>
                <w:highlight w:val="none"/>
              </w:rPr>
              <w:t>项目</w:t>
            </w:r>
          </w:p>
        </w:tc>
        <w:tc>
          <w:tcPr>
            <w:tcW w:w="2340" w:type="dxa"/>
            <w:tcBorders>
              <w:top w:val="single" w:color="000000" w:sz="8"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C704096">
            <w:pPr>
              <w:snapToGrid w:val="0"/>
              <w:jc w:val="center"/>
              <w:rPr>
                <w:rFonts w:asciiTheme="minorHAnsi" w:hAnsiTheme="minorHAnsi" w:cstheme="minorBidi"/>
                <w:szCs w:val="22"/>
                <w:highlight w:val="none"/>
              </w:rPr>
            </w:pPr>
            <w:r>
              <w:rPr>
                <w:rFonts w:ascii="宋体" w:hAnsi="宋体" w:eastAsia="宋体" w:cs="宋体"/>
                <w:b/>
                <w:color w:val="000000"/>
                <w:sz w:val="24"/>
                <w:szCs w:val="22"/>
                <w:highlight w:val="none"/>
              </w:rPr>
              <w:t>装修标准</w:t>
            </w:r>
          </w:p>
        </w:tc>
        <w:tc>
          <w:tcPr>
            <w:tcW w:w="1545" w:type="dxa"/>
            <w:tcBorders>
              <w:top w:val="single" w:color="000000" w:sz="8"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52852FD7">
            <w:pPr>
              <w:snapToGrid w:val="0"/>
              <w:jc w:val="center"/>
              <w:rPr>
                <w:rFonts w:asciiTheme="minorHAnsi" w:hAnsiTheme="minorHAnsi" w:cstheme="minorBidi"/>
                <w:szCs w:val="22"/>
                <w:highlight w:val="none"/>
              </w:rPr>
            </w:pPr>
            <w:r>
              <w:rPr>
                <w:rFonts w:ascii="宋体" w:hAnsi="宋体" w:eastAsia="宋体" w:cs="宋体"/>
                <w:b/>
                <w:color w:val="000000"/>
                <w:sz w:val="24"/>
                <w:szCs w:val="22"/>
                <w:highlight w:val="none"/>
              </w:rPr>
              <w:t>品牌</w:t>
            </w:r>
          </w:p>
        </w:tc>
        <w:tc>
          <w:tcPr>
            <w:tcW w:w="1050" w:type="dxa"/>
            <w:tcBorders>
              <w:top w:val="single" w:color="000000" w:sz="8"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4149ABB">
            <w:pPr>
              <w:snapToGrid w:val="0"/>
              <w:jc w:val="center"/>
              <w:rPr>
                <w:rFonts w:asciiTheme="minorHAnsi" w:hAnsiTheme="minorHAnsi" w:cstheme="minorBidi"/>
                <w:szCs w:val="22"/>
                <w:highlight w:val="none"/>
              </w:rPr>
            </w:pPr>
            <w:r>
              <w:rPr>
                <w:rFonts w:ascii="宋体" w:hAnsi="宋体" w:eastAsia="宋体" w:cs="宋体"/>
                <w:b/>
                <w:color w:val="000000"/>
                <w:sz w:val="24"/>
                <w:szCs w:val="22"/>
                <w:highlight w:val="none"/>
              </w:rPr>
              <w:t>备注</w:t>
            </w:r>
          </w:p>
        </w:tc>
      </w:tr>
      <w:tr w14:paraId="20180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restart"/>
            <w:tcBorders>
              <w:top w:val="single" w:color="000000" w:sz="0" w:space="0"/>
              <w:left w:val="single" w:color="000000" w:sz="8" w:space="0"/>
              <w:bottom w:val="single" w:color="000000" w:sz="8" w:space="0"/>
              <w:right w:val="single" w:color="000000" w:sz="8" w:space="0"/>
            </w:tcBorders>
            <w:tcMar>
              <w:top w:w="32" w:type="dxa"/>
              <w:left w:w="64" w:type="dxa"/>
              <w:bottom w:w="32" w:type="dxa"/>
              <w:right w:w="64" w:type="dxa"/>
            </w:tcMar>
            <w:vAlign w:val="center"/>
          </w:tcPr>
          <w:p w14:paraId="7228029F">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玄关、客餐厅及过道</w:t>
            </w: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49EED7FF">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地面</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E1A20D5">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瓷砖</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8303274">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蒙娜丽莎或冠珠</w:t>
            </w:r>
          </w:p>
        </w:tc>
        <w:tc>
          <w:tcPr>
            <w:tcW w:w="1050" w:type="dxa"/>
            <w:tcBorders>
              <w:top w:val="single" w:color="000000" w:sz="8"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482A76A0">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42911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0" w:space="0"/>
              <w:left w:val="single" w:color="000000" w:sz="8" w:space="0"/>
              <w:bottom w:val="single" w:color="000000" w:sz="8" w:space="0"/>
              <w:right w:val="single" w:color="000000" w:sz="8" w:space="0"/>
            </w:tcBorders>
            <w:tcMar>
              <w:top w:w="32" w:type="dxa"/>
              <w:left w:w="64" w:type="dxa"/>
              <w:bottom w:w="32" w:type="dxa"/>
              <w:right w:w="64" w:type="dxa"/>
            </w:tcMar>
            <w:vAlign w:val="center"/>
          </w:tcPr>
          <w:p w14:paraId="0A152D22">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9D87FBF">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墙面</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33DFB8A">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涂料</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FB0651E">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立邦或三棵树</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54B4435F">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4101F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0" w:space="0"/>
              <w:left w:val="single" w:color="000000" w:sz="8" w:space="0"/>
              <w:bottom w:val="single" w:color="000000" w:sz="8" w:space="0"/>
              <w:right w:val="single" w:color="000000" w:sz="8" w:space="0"/>
            </w:tcBorders>
            <w:tcMar>
              <w:top w:w="32" w:type="dxa"/>
              <w:left w:w="64" w:type="dxa"/>
              <w:bottom w:w="32" w:type="dxa"/>
              <w:right w:w="64" w:type="dxa"/>
            </w:tcMar>
            <w:vAlign w:val="center"/>
          </w:tcPr>
          <w:p w14:paraId="7FB0D691">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48B0E6D">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顶面</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AA15CC6">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涂料</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56B3AC3">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立邦或三棵树</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44A085B7">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79483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0" w:space="0"/>
              <w:left w:val="single" w:color="000000" w:sz="8" w:space="0"/>
              <w:bottom w:val="single" w:color="000000" w:sz="8" w:space="0"/>
              <w:right w:val="single" w:color="000000" w:sz="8" w:space="0"/>
            </w:tcBorders>
            <w:tcMar>
              <w:top w:w="32" w:type="dxa"/>
              <w:left w:w="64" w:type="dxa"/>
              <w:bottom w:w="32" w:type="dxa"/>
              <w:right w:w="64" w:type="dxa"/>
            </w:tcMar>
            <w:vAlign w:val="center"/>
          </w:tcPr>
          <w:p w14:paraId="53CDEAB0">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DA77C2C">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玄关柜</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538CB66F">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9B14094">
            <w:pPr>
              <w:snapToGrid w:val="0"/>
              <w:jc w:val="center"/>
              <w:rPr>
                <w:rFonts w:asciiTheme="minorHAnsi" w:hAnsiTheme="minorHAnsi" w:cstheme="minorBidi"/>
                <w:szCs w:val="22"/>
                <w:highlight w:val="none"/>
              </w:rPr>
            </w:pPr>
            <w:r>
              <w:rPr>
                <w:rFonts w:hint="eastAsia" w:ascii="宋体" w:hAnsi="宋体" w:eastAsia="宋体" w:cs="宋体"/>
                <w:color w:val="000000"/>
                <w:sz w:val="24"/>
                <w:szCs w:val="22"/>
                <w:highlight w:val="none"/>
                <w:lang w:val="en-US" w:eastAsia="zh-CN"/>
              </w:rPr>
              <w:t>中铁</w:t>
            </w:r>
            <w:r>
              <w:rPr>
                <w:rFonts w:ascii="宋体" w:hAnsi="宋体" w:eastAsia="宋体" w:cs="宋体"/>
                <w:color w:val="000000"/>
                <w:sz w:val="24"/>
                <w:szCs w:val="22"/>
                <w:highlight w:val="none"/>
              </w:rPr>
              <w:t>定制</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7865227">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42F82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0" w:space="0"/>
              <w:left w:val="single" w:color="000000" w:sz="8" w:space="0"/>
              <w:bottom w:val="single" w:color="000000" w:sz="8" w:space="0"/>
              <w:right w:val="single" w:color="000000" w:sz="8" w:space="0"/>
            </w:tcBorders>
            <w:tcMar>
              <w:top w:w="32" w:type="dxa"/>
              <w:left w:w="64" w:type="dxa"/>
              <w:bottom w:w="32" w:type="dxa"/>
              <w:right w:w="64" w:type="dxa"/>
            </w:tcMar>
            <w:vAlign w:val="center"/>
          </w:tcPr>
          <w:p w14:paraId="27655BC2">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8FC05AC">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入户门</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42FE6B1">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钢质门</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B128E34">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步阳或新多</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1CCAF9AB">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65164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0" w:space="0"/>
              <w:left w:val="single" w:color="000000" w:sz="8" w:space="0"/>
              <w:bottom w:val="single" w:color="000000" w:sz="8" w:space="0"/>
              <w:right w:val="single" w:color="000000" w:sz="8" w:space="0"/>
            </w:tcBorders>
            <w:tcMar>
              <w:top w:w="32" w:type="dxa"/>
              <w:left w:w="64" w:type="dxa"/>
              <w:bottom w:w="32" w:type="dxa"/>
              <w:right w:w="64" w:type="dxa"/>
            </w:tcMar>
            <w:vAlign w:val="center"/>
          </w:tcPr>
          <w:p w14:paraId="4BC049C9">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18461D5A">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入户门锁</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34C0A5E3">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智能门锁</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830727E">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凯迪仕或博世</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377051EC">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77202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restart"/>
            <w:tcBorders>
              <w:top w:val="single" w:color="000000" w:sz="0"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3851A506">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卧室</w:t>
            </w: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3C285706">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地面</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394167A5">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实木复合地板</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063286E">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肯帝亚或圣象</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0521172">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70A0E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0"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1346093B">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F68CD40">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墙面</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1A339A15">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涂料</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CCBF587">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立邦或三棵树</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0BD5170">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26311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0"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2D2D7360">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E392ED1">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顶面</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4858391A">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涂料</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3200AF1E">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立邦或三棵树</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CA3F6A1">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0594C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restart"/>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40CA99E0">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厨房</w:t>
            </w: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194D8E19">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地面</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B85FA0B">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瓷砖</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C87F4BD">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蒙娜丽莎或冠珠</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28D2F68">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19652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49AFF0E8">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3B5559DD">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墙面</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DC98F5F">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瓷砖</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41E10669">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蒙娜丽莎或冠珠</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5CCD0896">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6C274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0555879F">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3C4AF86">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顶面</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E30F624">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集成吊顶</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699056C">
            <w:pPr>
              <w:snapToGrid w:val="0"/>
              <w:jc w:val="center"/>
              <w:rPr>
                <w:rFonts w:hint="default" w:eastAsia="仿宋_GB2312" w:asciiTheme="minorHAnsi" w:hAnsiTheme="minorHAnsi" w:cstheme="minorBidi"/>
                <w:szCs w:val="22"/>
                <w:highlight w:val="none"/>
                <w:lang w:val="en-US" w:eastAsia="zh-CN"/>
              </w:rPr>
            </w:pPr>
            <w:r>
              <w:rPr>
                <w:rFonts w:hint="eastAsia" w:ascii="宋体" w:hAnsi="宋体" w:eastAsia="宋体" w:cs="宋体"/>
                <w:color w:val="000000"/>
                <w:sz w:val="24"/>
                <w:szCs w:val="22"/>
                <w:highlight w:val="none"/>
                <w:lang w:val="en-US" w:eastAsia="zh-CN"/>
              </w:rPr>
              <w:t>名族或欧普或奥普</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878FD45">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3B8B6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349CBC17">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C78AF03">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橱柜</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BE7B7EC">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AC1F688">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欧派或金牌或志邦</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46F0132E">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仅145户型配置</w:t>
            </w:r>
            <w:r>
              <w:rPr>
                <w:rFonts w:hint="eastAsia" w:ascii="宋体" w:hAnsi="宋体" w:eastAsia="宋体" w:cs="宋体"/>
                <w:color w:val="000000"/>
                <w:sz w:val="24"/>
                <w:szCs w:val="22"/>
                <w:highlight w:val="none"/>
                <w:lang w:val="en-US" w:eastAsia="zh-CN"/>
              </w:rPr>
              <w:t>电动升降调味拉篮</w:t>
            </w:r>
            <w:r>
              <w:rPr>
                <w:rFonts w:ascii="宋体" w:hAnsi="宋体" w:eastAsia="宋体" w:cs="宋体"/>
                <w:color w:val="FF0000"/>
                <w:sz w:val="24"/>
                <w:szCs w:val="22"/>
                <w:highlight w:val="none"/>
              </w:rPr>
              <w:t> </w:t>
            </w:r>
          </w:p>
        </w:tc>
      </w:tr>
      <w:tr w14:paraId="2631D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11C867C9">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BB3418E">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水槽</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4FE79931">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不锈钢</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98BA255">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科勒或摩恩</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12DBCEEA">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0A0C8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3FCF701A">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57E8D6C8">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龙头</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2D048BE">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456008A">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科勒或摩恩</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6FAFD4D">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0031E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0F0FF4AD">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337C5AE0">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灶台</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4C508CD0">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0BAB21B">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西门子或松下</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56AA4F2B">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65767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55582B2A">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BDCF617">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吸油烟机</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59D88976">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F317B02">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西门子或松下</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59F1500D">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54872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2254FE84">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A57BD94">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洗碗机</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6A13BD4">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901A09F">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西门子或松下</w:t>
            </w:r>
          </w:p>
        </w:tc>
        <w:tc>
          <w:tcPr>
            <w:tcW w:w="1050" w:type="dxa"/>
            <w:vMerge w:val="restart"/>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B3CA591">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仅145户型配置</w:t>
            </w:r>
          </w:p>
        </w:tc>
      </w:tr>
      <w:tr w14:paraId="3E926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1AAE669D">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3B874B90">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蒸烤箱</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1D009900">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39303E59">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西门子或松下</w:t>
            </w:r>
          </w:p>
        </w:tc>
        <w:tc>
          <w:tcPr>
            <w:tcW w:w="1050" w:type="dxa"/>
            <w:vMerge w:val="continue"/>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CF76A52">
            <w:pPr>
              <w:rPr>
                <w:rFonts w:asciiTheme="minorHAnsi" w:hAnsiTheme="minorHAnsi" w:cstheme="minorBidi"/>
                <w:szCs w:val="22"/>
                <w:highlight w:val="none"/>
              </w:rPr>
            </w:pPr>
          </w:p>
        </w:tc>
      </w:tr>
      <w:tr w14:paraId="14FD3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7545D398">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33389BE">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凉霸</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12D6E0C">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AA83FF7">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欧普或飞利浦或雷士</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A0C58CC">
            <w:pPr>
              <w:snapToGrid w:val="0"/>
              <w:jc w:val="center"/>
              <w:rPr>
                <w:rFonts w:asciiTheme="minorHAnsi" w:hAnsiTheme="minorHAnsi" w:cstheme="minorBidi"/>
                <w:szCs w:val="22"/>
                <w:highlight w:val="none"/>
              </w:rPr>
            </w:pPr>
            <w:r>
              <w:rPr>
                <w:rFonts w:ascii="宋体" w:hAnsi="宋体" w:eastAsia="宋体" w:cs="宋体"/>
                <w:color w:val="FF0000"/>
                <w:sz w:val="24"/>
                <w:szCs w:val="22"/>
                <w:highlight w:val="none"/>
              </w:rPr>
              <w:t> </w:t>
            </w:r>
          </w:p>
        </w:tc>
      </w:tr>
      <w:tr w14:paraId="7D7E1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018F9DFF">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6C4A682">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净水器</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1D615C8">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44B3FF46">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霍尼韦尔或怡口或滨特尔</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16C835C">
            <w:pPr>
              <w:snapToGrid w:val="0"/>
              <w:jc w:val="center"/>
              <w:rPr>
                <w:rFonts w:asciiTheme="minorHAnsi" w:hAnsiTheme="minorHAnsi" w:cstheme="minorBidi"/>
                <w:szCs w:val="22"/>
                <w:highlight w:val="none"/>
              </w:rPr>
            </w:pPr>
            <w:r>
              <w:rPr>
                <w:rFonts w:ascii="宋体" w:hAnsi="宋体" w:eastAsia="宋体" w:cs="宋体"/>
                <w:color w:val="FF0000"/>
                <w:sz w:val="24"/>
                <w:szCs w:val="22"/>
                <w:highlight w:val="none"/>
              </w:rPr>
              <w:t> </w:t>
            </w:r>
          </w:p>
        </w:tc>
      </w:tr>
      <w:tr w14:paraId="625EA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7AAA8EB3">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443A64BF">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移门</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16E8D6A9">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型材+玻璃</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5CD00C71">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欧派或金牌或志邦</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0E50D9E">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3A1EB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restart"/>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453FD6D9">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卫生间</w:t>
            </w: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AFB98EC">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地面</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04B195B">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瓷砖</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074903A">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蒙娜丽莎或冠珠</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15667BEE">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5528C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30CEC6C6">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3DF742A5">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淋浴房地面</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1632A46">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石材</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DEE13E2">
            <w:pPr>
              <w:snapToGrid w:val="0"/>
              <w:jc w:val="center"/>
              <w:rPr>
                <w:rFonts w:asciiTheme="minorHAnsi" w:hAnsiTheme="minorHAnsi" w:cstheme="minorBidi"/>
                <w:szCs w:val="22"/>
                <w:highlight w:val="none"/>
              </w:rPr>
            </w:pPr>
            <w:r>
              <w:rPr>
                <w:rFonts w:hint="eastAsia" w:ascii="宋体" w:hAnsi="宋体" w:eastAsia="宋体" w:cs="宋体"/>
                <w:color w:val="000000"/>
                <w:sz w:val="24"/>
                <w:szCs w:val="22"/>
                <w:highlight w:val="none"/>
                <w:lang w:val="en-US" w:eastAsia="zh-CN"/>
              </w:rPr>
              <w:t>中铁</w:t>
            </w:r>
            <w:r>
              <w:rPr>
                <w:rFonts w:ascii="宋体" w:hAnsi="宋体" w:eastAsia="宋体" w:cs="宋体"/>
                <w:color w:val="000000"/>
                <w:sz w:val="24"/>
                <w:szCs w:val="22"/>
                <w:highlight w:val="none"/>
              </w:rPr>
              <w:t>定制</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53217A6">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78F2B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7C0EC3C3">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DB2E426">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墙面</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4F1F04E6">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瓷砖</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A6523FA">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蒙娜丽莎或冠珠</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1296DF92">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252F5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355E578E">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6AA6260">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顶面</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46AB9A37">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集成吊顶</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4F3C5792">
            <w:pPr>
              <w:snapToGrid w:val="0"/>
              <w:jc w:val="center"/>
              <w:rPr>
                <w:rFonts w:asciiTheme="minorHAnsi" w:hAnsiTheme="minorHAnsi" w:cstheme="minorBidi"/>
                <w:szCs w:val="22"/>
                <w:highlight w:val="none"/>
              </w:rPr>
            </w:pPr>
            <w:r>
              <w:rPr>
                <w:rFonts w:hint="eastAsia" w:ascii="宋体" w:hAnsi="宋体" w:eastAsia="宋体" w:cs="宋体"/>
                <w:color w:val="000000"/>
                <w:sz w:val="24"/>
                <w:szCs w:val="22"/>
                <w:highlight w:val="none"/>
                <w:lang w:val="en-US" w:eastAsia="zh-CN"/>
              </w:rPr>
              <w:t>名族或欧普或奥普</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5A3BFD6">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26F4A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48197462">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42368363">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座便器</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3CD786A">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陶瓷</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3114ACA">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科勒或TOTO</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91BE11F">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1D46B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6580BFDE">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159C119C">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台盆龙头</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979B6BD">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A105316">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科勒或TOTO</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170E48D8">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4A4DC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031094DA">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D52CD05">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台盆</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9D2F11D">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陶瓷</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1CEC39EC">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科勒或TOTO</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99F97AA">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3E897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30A3F425">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2454971">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花洒</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53385E9A">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3EB7A84A">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科勒或TOTO</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4AFDB68C">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4E28E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499AD783">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384E390">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卫生间地柜、镜柜</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A80ACC4">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44356B3">
            <w:pPr>
              <w:snapToGrid w:val="0"/>
              <w:jc w:val="center"/>
              <w:rPr>
                <w:rFonts w:asciiTheme="minorHAnsi" w:hAnsiTheme="minorHAnsi" w:cstheme="minorBidi"/>
                <w:szCs w:val="22"/>
                <w:highlight w:val="none"/>
              </w:rPr>
            </w:pPr>
            <w:r>
              <w:rPr>
                <w:rFonts w:hint="eastAsia" w:ascii="宋体" w:hAnsi="宋体" w:eastAsia="宋体" w:cs="宋体"/>
                <w:color w:val="000000"/>
                <w:sz w:val="24"/>
                <w:szCs w:val="22"/>
                <w:highlight w:val="none"/>
                <w:lang w:val="en-US" w:eastAsia="zh-CN"/>
              </w:rPr>
              <w:t>中铁</w:t>
            </w:r>
            <w:r>
              <w:rPr>
                <w:rFonts w:ascii="宋体" w:hAnsi="宋体" w:eastAsia="宋体" w:cs="宋体"/>
                <w:color w:val="000000"/>
                <w:sz w:val="24"/>
                <w:szCs w:val="22"/>
                <w:highlight w:val="none"/>
              </w:rPr>
              <w:t>定制</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CB0DCA0">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54B93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36E07734">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BF6A537">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淋浴隔断</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4FFD04E">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型材+玻璃</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ABEA5A7">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玫瑰岛或九牧或朗斯</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38CE6AFC">
            <w:pPr>
              <w:snapToGrid w:val="0"/>
              <w:jc w:val="center"/>
              <w:rPr>
                <w:rFonts w:asciiTheme="minorHAnsi" w:hAnsiTheme="minorHAnsi" w:cstheme="minorBidi"/>
                <w:szCs w:val="22"/>
                <w:highlight w:val="none"/>
              </w:rPr>
            </w:pPr>
            <w:r>
              <w:rPr>
                <w:rFonts w:ascii="宋体" w:hAnsi="宋体" w:eastAsia="宋体" w:cs="宋体"/>
                <w:color w:val="FF0000"/>
                <w:sz w:val="24"/>
                <w:szCs w:val="22"/>
                <w:highlight w:val="none"/>
              </w:rPr>
              <w:t> </w:t>
            </w:r>
          </w:p>
        </w:tc>
      </w:tr>
      <w:tr w14:paraId="2ED47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0" w:space="0"/>
              <w:right w:val="single" w:color="000000" w:sz="8" w:space="0"/>
            </w:tcBorders>
            <w:tcMar>
              <w:top w:w="32" w:type="dxa"/>
              <w:left w:w="64" w:type="dxa"/>
              <w:bottom w:w="32" w:type="dxa"/>
              <w:right w:w="64" w:type="dxa"/>
            </w:tcMar>
            <w:vAlign w:val="center"/>
          </w:tcPr>
          <w:p w14:paraId="5EFED6FB">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53B31D16">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暖风机</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C12BD90">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15073203">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欧普或飞利浦或雷士</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4447DCA">
            <w:pPr>
              <w:snapToGrid w:val="0"/>
              <w:jc w:val="center"/>
              <w:rPr>
                <w:rFonts w:asciiTheme="minorHAnsi" w:hAnsiTheme="minorHAnsi" w:cstheme="minorBidi"/>
                <w:szCs w:val="22"/>
                <w:highlight w:val="none"/>
              </w:rPr>
            </w:pPr>
            <w:r>
              <w:rPr>
                <w:rFonts w:ascii="宋体" w:hAnsi="宋体" w:eastAsia="宋体" w:cs="宋体"/>
                <w:color w:val="FF0000"/>
                <w:sz w:val="24"/>
                <w:szCs w:val="22"/>
                <w:highlight w:val="none"/>
              </w:rPr>
              <w:t> </w:t>
            </w:r>
          </w:p>
        </w:tc>
      </w:tr>
      <w:tr w14:paraId="20312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restart"/>
            <w:tcBorders>
              <w:top w:val="single" w:color="000000" w:sz="8" w:space="0"/>
              <w:left w:val="single" w:color="000000" w:sz="8" w:space="0"/>
              <w:bottom w:val="single" w:color="000000" w:sz="8" w:space="0"/>
              <w:right w:val="single" w:color="000000" w:sz="8" w:space="0"/>
            </w:tcBorders>
            <w:tcMar>
              <w:top w:w="32" w:type="dxa"/>
              <w:left w:w="64" w:type="dxa"/>
              <w:bottom w:w="32" w:type="dxa"/>
              <w:right w:w="64" w:type="dxa"/>
            </w:tcMar>
            <w:vAlign w:val="center"/>
          </w:tcPr>
          <w:p w14:paraId="0BF52DC2">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阳台</w:t>
            </w: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1829E79">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地面</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3AA5E02C">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瓷砖</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43DCF40D">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蒙娜丽莎或冠珠</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519F399">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563E9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8" w:space="0"/>
              <w:right w:val="single" w:color="000000" w:sz="8" w:space="0"/>
            </w:tcBorders>
            <w:tcMar>
              <w:top w:w="32" w:type="dxa"/>
              <w:left w:w="64" w:type="dxa"/>
              <w:bottom w:w="32" w:type="dxa"/>
              <w:right w:w="64" w:type="dxa"/>
            </w:tcMar>
            <w:vAlign w:val="center"/>
          </w:tcPr>
          <w:p w14:paraId="53D2347E">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43CBF34F">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顶面</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12AA7025">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涂料</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495EE4A7">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立邦或三棵树</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5B4BD5A3">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6104C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8" w:space="0"/>
              <w:left w:val="single" w:color="000000" w:sz="8" w:space="0"/>
              <w:bottom w:val="single" w:color="000000" w:sz="8" w:space="0"/>
              <w:right w:val="single" w:color="000000" w:sz="8" w:space="0"/>
            </w:tcBorders>
            <w:tcMar>
              <w:top w:w="32" w:type="dxa"/>
              <w:left w:w="64" w:type="dxa"/>
              <w:bottom w:w="32" w:type="dxa"/>
              <w:right w:w="64" w:type="dxa"/>
            </w:tcMar>
            <w:vAlign w:val="center"/>
          </w:tcPr>
          <w:p w14:paraId="37E9A330">
            <w:pPr>
              <w:rPr>
                <w:rFonts w:asciiTheme="minorHAnsi" w:hAnsiTheme="minorHAnsi" w:cstheme="minorBidi"/>
                <w:szCs w:val="22"/>
                <w:highlight w:val="none"/>
              </w:rPr>
            </w:pPr>
          </w:p>
        </w:tc>
        <w:tc>
          <w:tcPr>
            <w:tcW w:w="2640" w:type="dxa"/>
            <w:gridSpan w:val="2"/>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63DF53E">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墙面</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C239183">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涂料</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1A72A5BE">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立邦或三棵树</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34127B0D">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775BE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0" w:type="dxa"/>
            <w:gridSpan w:val="3"/>
            <w:tcBorders>
              <w:top w:val="single" w:color="000000" w:sz="0" w:space="0"/>
              <w:left w:val="single" w:color="000000" w:sz="8" w:space="0"/>
              <w:bottom w:val="single" w:color="000000" w:sz="8" w:space="0"/>
              <w:right w:val="single" w:color="000000" w:sz="8" w:space="0"/>
            </w:tcBorders>
            <w:tcMar>
              <w:top w:w="32" w:type="dxa"/>
              <w:left w:w="64" w:type="dxa"/>
              <w:bottom w:w="32" w:type="dxa"/>
              <w:right w:w="64" w:type="dxa"/>
            </w:tcMar>
            <w:vAlign w:val="center"/>
          </w:tcPr>
          <w:p w14:paraId="53FBFB41">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户内门</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1BFC54E6">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木饰面</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F2B6DEA">
            <w:pPr>
              <w:snapToGrid w:val="0"/>
              <w:jc w:val="center"/>
              <w:rPr>
                <w:rFonts w:asciiTheme="minorHAnsi" w:hAnsiTheme="minorHAnsi" w:cstheme="minorBidi"/>
                <w:szCs w:val="22"/>
                <w:highlight w:val="none"/>
              </w:rPr>
            </w:pPr>
            <w:r>
              <w:rPr>
                <w:rFonts w:hint="eastAsia" w:ascii="宋体" w:hAnsi="宋体" w:eastAsia="宋体" w:cs="宋体"/>
                <w:color w:val="000000"/>
                <w:sz w:val="24"/>
                <w:szCs w:val="22"/>
                <w:highlight w:val="none"/>
                <w:lang w:val="en-US" w:eastAsia="zh-CN"/>
              </w:rPr>
              <w:t>中铁</w:t>
            </w:r>
            <w:r>
              <w:rPr>
                <w:rFonts w:ascii="宋体" w:hAnsi="宋体" w:eastAsia="宋体" w:cs="宋体"/>
                <w:color w:val="000000"/>
                <w:sz w:val="24"/>
                <w:szCs w:val="22"/>
                <w:highlight w:val="none"/>
              </w:rPr>
              <w:t>定制</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F8E5639">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11A8C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restart"/>
            <w:tcBorders>
              <w:top w:val="single" w:color="000000" w:sz="0" w:space="0"/>
              <w:left w:val="single" w:color="000000" w:sz="8" w:space="0"/>
              <w:bottom w:val="single" w:color="000000" w:sz="8" w:space="0"/>
              <w:right w:val="single" w:color="000000" w:sz="8" w:space="0"/>
            </w:tcBorders>
            <w:tcMar>
              <w:top w:w="32" w:type="dxa"/>
              <w:left w:w="64" w:type="dxa"/>
              <w:bottom w:w="32" w:type="dxa"/>
              <w:right w:w="64" w:type="dxa"/>
            </w:tcMar>
            <w:vAlign w:val="center"/>
          </w:tcPr>
          <w:p w14:paraId="22A604FB">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机电系统</w:t>
            </w:r>
          </w:p>
        </w:tc>
        <w:tc>
          <w:tcPr>
            <w:tcW w:w="1320" w:type="dxa"/>
            <w:vMerge w:val="restart"/>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648A88A">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水电</w:t>
            </w:r>
          </w:p>
        </w:tc>
        <w:tc>
          <w:tcPr>
            <w:tcW w:w="132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38882A89">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照明灯具</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579A9CF">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工程灯具</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2B044C5">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欧普或飞利浦或雷士</w:t>
            </w:r>
          </w:p>
        </w:tc>
        <w:tc>
          <w:tcPr>
            <w:tcW w:w="1050" w:type="dxa"/>
            <w:tcBorders>
              <w:top w:val="single" w:color="000000" w:sz="8"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16E95B48">
            <w:pPr>
              <w:snapToGrid w:val="0"/>
              <w:jc w:val="left"/>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18A36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0" w:space="0"/>
              <w:left w:val="single" w:color="000000" w:sz="8" w:space="0"/>
              <w:bottom w:val="single" w:color="000000" w:sz="8" w:space="0"/>
              <w:right w:val="single" w:color="000000" w:sz="8" w:space="0"/>
            </w:tcBorders>
            <w:tcMar>
              <w:top w:w="32" w:type="dxa"/>
              <w:left w:w="64" w:type="dxa"/>
              <w:bottom w:w="32" w:type="dxa"/>
              <w:right w:w="64" w:type="dxa"/>
            </w:tcMar>
            <w:vAlign w:val="center"/>
          </w:tcPr>
          <w:p w14:paraId="146B063C">
            <w:pPr>
              <w:rPr>
                <w:rFonts w:asciiTheme="minorHAnsi" w:hAnsiTheme="minorHAnsi" w:cstheme="minorBidi"/>
                <w:szCs w:val="22"/>
                <w:highlight w:val="none"/>
              </w:rPr>
            </w:pPr>
          </w:p>
        </w:tc>
        <w:tc>
          <w:tcPr>
            <w:tcW w:w="1320" w:type="dxa"/>
            <w:vMerge w:val="continue"/>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5FC63400">
            <w:pPr>
              <w:rPr>
                <w:rFonts w:asciiTheme="minorHAnsi" w:hAnsiTheme="minorHAnsi" w:cstheme="minorBidi"/>
                <w:szCs w:val="22"/>
                <w:highlight w:val="none"/>
              </w:rPr>
            </w:pPr>
          </w:p>
        </w:tc>
        <w:tc>
          <w:tcPr>
            <w:tcW w:w="132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A5B9ECF">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开关插座</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1F52D9E8">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19647B7">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罗格朗或西门子或施耐德</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5E43E2F">
            <w:pPr>
              <w:snapToGrid w:val="0"/>
              <w:jc w:val="left"/>
              <w:rPr>
                <w:rFonts w:asciiTheme="minorHAnsi" w:hAnsiTheme="minorHAnsi" w:cstheme="minorBidi"/>
                <w:szCs w:val="22"/>
                <w:highlight w:val="none"/>
              </w:rPr>
            </w:pPr>
            <w:r>
              <w:rPr>
                <w:rFonts w:ascii="宋体" w:hAnsi="宋体" w:eastAsia="宋体" w:cs="宋体"/>
                <w:color w:val="FF0000"/>
                <w:sz w:val="24"/>
                <w:szCs w:val="22"/>
                <w:highlight w:val="none"/>
              </w:rPr>
              <w:t> </w:t>
            </w:r>
          </w:p>
        </w:tc>
      </w:tr>
      <w:tr w14:paraId="04496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0" w:space="0"/>
              <w:left w:val="single" w:color="000000" w:sz="8" w:space="0"/>
              <w:bottom w:val="single" w:color="000000" w:sz="8" w:space="0"/>
              <w:right w:val="single" w:color="000000" w:sz="8" w:space="0"/>
            </w:tcBorders>
            <w:tcMar>
              <w:top w:w="32" w:type="dxa"/>
              <w:left w:w="64" w:type="dxa"/>
              <w:bottom w:w="32" w:type="dxa"/>
              <w:right w:w="64" w:type="dxa"/>
            </w:tcMar>
            <w:vAlign w:val="center"/>
          </w:tcPr>
          <w:p w14:paraId="5DF33770">
            <w:pPr>
              <w:rPr>
                <w:rFonts w:asciiTheme="minorHAnsi" w:hAnsiTheme="minorHAnsi" w:cstheme="minorBidi"/>
                <w:szCs w:val="22"/>
                <w:highlight w:val="none"/>
              </w:rPr>
            </w:pPr>
          </w:p>
        </w:tc>
        <w:tc>
          <w:tcPr>
            <w:tcW w:w="1320" w:type="dxa"/>
            <w:vMerge w:val="restart"/>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03BD957">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设备</w:t>
            </w:r>
          </w:p>
        </w:tc>
        <w:tc>
          <w:tcPr>
            <w:tcW w:w="132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8433265">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空调系统</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C47D586">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中央空调</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58AAAFAA">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东芝或日立</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19BB01F0">
            <w:pPr>
              <w:snapToGrid w:val="0"/>
              <w:jc w:val="left"/>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0D0F3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0" w:space="0"/>
              <w:left w:val="single" w:color="000000" w:sz="8" w:space="0"/>
              <w:bottom w:val="single" w:color="000000" w:sz="8" w:space="0"/>
              <w:right w:val="single" w:color="000000" w:sz="8" w:space="0"/>
            </w:tcBorders>
            <w:tcMar>
              <w:top w:w="32" w:type="dxa"/>
              <w:left w:w="64" w:type="dxa"/>
              <w:bottom w:w="32" w:type="dxa"/>
              <w:right w:w="64" w:type="dxa"/>
            </w:tcMar>
            <w:vAlign w:val="center"/>
          </w:tcPr>
          <w:p w14:paraId="04772158">
            <w:pPr>
              <w:rPr>
                <w:rFonts w:asciiTheme="minorHAnsi" w:hAnsiTheme="minorHAnsi" w:cstheme="minorBidi"/>
                <w:szCs w:val="22"/>
                <w:highlight w:val="none"/>
              </w:rPr>
            </w:pPr>
          </w:p>
        </w:tc>
        <w:tc>
          <w:tcPr>
            <w:tcW w:w="1320" w:type="dxa"/>
            <w:vMerge w:val="continue"/>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CD11747">
            <w:pPr>
              <w:rPr>
                <w:rFonts w:asciiTheme="minorHAnsi" w:hAnsiTheme="minorHAnsi" w:cstheme="minorBidi"/>
                <w:szCs w:val="22"/>
                <w:highlight w:val="none"/>
              </w:rPr>
            </w:pPr>
          </w:p>
        </w:tc>
        <w:tc>
          <w:tcPr>
            <w:tcW w:w="132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1F68AC45">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新风系统</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F07F4E2">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单向流</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ED20385">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狄耐克或兰舍</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09673B07">
            <w:pPr>
              <w:snapToGrid w:val="0"/>
              <w:jc w:val="left"/>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50F87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0" w:space="0"/>
              <w:left w:val="single" w:color="000000" w:sz="8" w:space="0"/>
              <w:bottom w:val="single" w:color="000000" w:sz="8" w:space="0"/>
              <w:right w:val="single" w:color="000000" w:sz="8" w:space="0"/>
            </w:tcBorders>
            <w:tcMar>
              <w:top w:w="32" w:type="dxa"/>
              <w:left w:w="64" w:type="dxa"/>
              <w:bottom w:w="32" w:type="dxa"/>
              <w:right w:w="64" w:type="dxa"/>
            </w:tcMar>
            <w:vAlign w:val="center"/>
          </w:tcPr>
          <w:p w14:paraId="32084874">
            <w:pPr>
              <w:rPr>
                <w:rFonts w:asciiTheme="minorHAnsi" w:hAnsiTheme="minorHAnsi" w:cstheme="minorBidi"/>
                <w:szCs w:val="22"/>
                <w:highlight w:val="none"/>
              </w:rPr>
            </w:pPr>
          </w:p>
        </w:tc>
        <w:tc>
          <w:tcPr>
            <w:tcW w:w="1320" w:type="dxa"/>
            <w:vMerge w:val="continue"/>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10F2978">
            <w:pPr>
              <w:rPr>
                <w:rFonts w:asciiTheme="minorHAnsi" w:hAnsiTheme="minorHAnsi" w:cstheme="minorBidi"/>
                <w:szCs w:val="22"/>
                <w:highlight w:val="none"/>
              </w:rPr>
            </w:pPr>
          </w:p>
        </w:tc>
        <w:tc>
          <w:tcPr>
            <w:tcW w:w="132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3ADFBFE0">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地暖锅炉</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49546332">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3A65E24E">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威能或阿里斯顿</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602E8D4">
            <w:pPr>
              <w:snapToGrid w:val="0"/>
              <w:jc w:val="left"/>
              <w:rPr>
                <w:rFonts w:asciiTheme="minorHAnsi" w:hAnsiTheme="minorHAnsi" w:cstheme="minorBidi"/>
                <w:szCs w:val="22"/>
                <w:highlight w:val="none"/>
              </w:rPr>
            </w:pPr>
            <w:r>
              <w:rPr>
                <w:rFonts w:ascii="宋体" w:hAnsi="宋体" w:eastAsia="宋体" w:cs="宋体"/>
                <w:color w:val="000000"/>
                <w:sz w:val="24"/>
                <w:szCs w:val="22"/>
                <w:highlight w:val="none"/>
              </w:rPr>
              <w:t> </w:t>
            </w:r>
          </w:p>
        </w:tc>
      </w:tr>
      <w:tr w14:paraId="460C9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0" w:type="dxa"/>
            <w:vMerge w:val="continue"/>
            <w:tcBorders>
              <w:top w:val="single" w:color="000000" w:sz="0" w:space="0"/>
              <w:left w:val="single" w:color="000000" w:sz="8" w:space="0"/>
              <w:bottom w:val="single" w:color="000000" w:sz="8" w:space="0"/>
              <w:right w:val="single" w:color="000000" w:sz="8" w:space="0"/>
            </w:tcBorders>
            <w:tcMar>
              <w:top w:w="32" w:type="dxa"/>
              <w:left w:w="64" w:type="dxa"/>
              <w:bottom w:w="32" w:type="dxa"/>
              <w:right w:w="64" w:type="dxa"/>
            </w:tcMar>
            <w:vAlign w:val="center"/>
          </w:tcPr>
          <w:p w14:paraId="20627444">
            <w:pPr>
              <w:rPr>
                <w:rFonts w:asciiTheme="minorHAnsi" w:hAnsiTheme="minorHAnsi" w:cstheme="minorBidi"/>
                <w:szCs w:val="22"/>
                <w:highlight w:val="none"/>
              </w:rPr>
            </w:pPr>
          </w:p>
        </w:tc>
        <w:tc>
          <w:tcPr>
            <w:tcW w:w="1320" w:type="dxa"/>
            <w:vMerge w:val="continue"/>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707BE40C">
            <w:pPr>
              <w:rPr>
                <w:rFonts w:asciiTheme="minorHAnsi" w:hAnsiTheme="minorHAnsi" w:cstheme="minorBidi"/>
                <w:szCs w:val="22"/>
                <w:highlight w:val="none"/>
              </w:rPr>
            </w:pPr>
          </w:p>
        </w:tc>
        <w:tc>
          <w:tcPr>
            <w:tcW w:w="132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30E8F859">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智能家居系统</w:t>
            </w:r>
          </w:p>
        </w:tc>
        <w:tc>
          <w:tcPr>
            <w:tcW w:w="234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477DA59E">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灯控、空调地暖新风三合一控制器、大屏</w:t>
            </w:r>
          </w:p>
        </w:tc>
        <w:tc>
          <w:tcPr>
            <w:tcW w:w="1545"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2D5DBDB3">
            <w:pPr>
              <w:snapToGrid w:val="0"/>
              <w:jc w:val="center"/>
              <w:rPr>
                <w:rFonts w:asciiTheme="minorHAnsi" w:hAnsiTheme="minorHAnsi" w:cstheme="minorBidi"/>
                <w:szCs w:val="22"/>
                <w:highlight w:val="none"/>
              </w:rPr>
            </w:pPr>
            <w:r>
              <w:rPr>
                <w:rFonts w:ascii="宋体" w:hAnsi="宋体" w:eastAsia="宋体" w:cs="宋体"/>
                <w:color w:val="000000"/>
                <w:sz w:val="24"/>
                <w:szCs w:val="22"/>
                <w:highlight w:val="none"/>
              </w:rPr>
              <w:t>狄耐克或萤石</w:t>
            </w:r>
          </w:p>
        </w:tc>
        <w:tc>
          <w:tcPr>
            <w:tcW w:w="1050" w:type="dxa"/>
            <w:tcBorders>
              <w:top w:val="single" w:color="000000" w:sz="0" w:space="0"/>
              <w:left w:val="single" w:color="000000" w:sz="0" w:space="0"/>
              <w:bottom w:val="single" w:color="000000" w:sz="8" w:space="0"/>
              <w:right w:val="single" w:color="000000" w:sz="8" w:space="0"/>
            </w:tcBorders>
            <w:tcMar>
              <w:top w:w="32" w:type="dxa"/>
              <w:left w:w="64" w:type="dxa"/>
              <w:bottom w:w="32" w:type="dxa"/>
              <w:right w:w="64" w:type="dxa"/>
            </w:tcMar>
            <w:vAlign w:val="center"/>
          </w:tcPr>
          <w:p w14:paraId="648D250E">
            <w:pPr>
              <w:snapToGrid w:val="0"/>
              <w:jc w:val="left"/>
              <w:rPr>
                <w:rFonts w:asciiTheme="minorHAnsi" w:hAnsiTheme="minorHAnsi" w:cstheme="minorBidi"/>
                <w:szCs w:val="22"/>
                <w:highlight w:val="none"/>
              </w:rPr>
            </w:pPr>
            <w:r>
              <w:rPr>
                <w:rFonts w:ascii="宋体" w:hAnsi="宋体" w:eastAsia="宋体" w:cs="宋体"/>
                <w:color w:val="000000"/>
                <w:sz w:val="24"/>
                <w:szCs w:val="22"/>
                <w:highlight w:val="none"/>
              </w:rPr>
              <w:t> </w:t>
            </w:r>
          </w:p>
        </w:tc>
      </w:tr>
    </w:tbl>
    <w:p w14:paraId="19E45547">
      <w:pPr>
        <w:spacing w:line="300" w:lineRule="auto"/>
        <w:jc w:val="left"/>
      </w:pPr>
    </w:p>
    <w:p w14:paraId="0D87672D">
      <w:pPr>
        <w:spacing w:line="300" w:lineRule="auto"/>
        <w:jc w:val="left"/>
      </w:pPr>
      <w:r>
        <w:rPr>
          <w:rFonts w:ascii="宋体" w:hAnsi="宋体" w:eastAsia="宋体" w:cs="宋体"/>
          <w:b/>
          <w:color w:val="000000"/>
          <w:sz w:val="24"/>
        </w:rPr>
        <w:t>附件七 关于保修范围、保修期限和保修责任的约定</w:t>
      </w:r>
    </w:p>
    <w:p w14:paraId="59BA0351">
      <w:pPr>
        <w:spacing w:line="300" w:lineRule="auto"/>
        <w:ind w:firstLine="480"/>
      </w:pPr>
      <w:r>
        <w:rPr>
          <w:rFonts w:ascii="宋体" w:hAnsi="宋体" w:eastAsia="宋体" w:cs="宋体"/>
          <w:color w:val="000000"/>
          <w:sz w:val="24"/>
        </w:rPr>
        <w:t>该商品房为住宅的，出卖人应当提供《住宅质量保证书》；该商品房为非住宅的，双方可参照《住宅质量保证书》中的内容对保修范围、保修期限和保修责任等进行约定。</w:t>
      </w:r>
    </w:p>
    <w:p w14:paraId="43429D3F">
      <w:pPr>
        <w:spacing w:line="300" w:lineRule="auto"/>
        <w:ind w:right="120" w:firstLine="480"/>
        <w:jc w:val="left"/>
      </w:pPr>
      <w:r>
        <w:rPr>
          <w:rFonts w:ascii="宋体" w:hAnsi="宋体" w:eastAsia="宋体" w:cs="宋体"/>
          <w:color w:val="000000"/>
          <w:sz w:val="24"/>
        </w:rPr>
        <w:t>该商品房的保修期自房屋交付之日起计算，关于保修期限的约定不应低于《建设工程质量管理条例》第四十条规定的最低保修期限。</w:t>
      </w:r>
    </w:p>
    <w:p w14:paraId="6FBF4FF7">
      <w:pPr>
        <w:spacing w:line="300" w:lineRule="auto"/>
        <w:ind w:right="120" w:firstLine="480"/>
        <w:jc w:val="left"/>
      </w:pPr>
      <w:r>
        <w:rPr>
          <w:rFonts w:ascii="宋体" w:hAnsi="宋体" w:eastAsia="宋体" w:cs="宋体"/>
          <w:color w:val="000000"/>
          <w:sz w:val="24"/>
        </w:rPr>
        <w:t xml:space="preserve">（一）保修项目、期限及责任的约定 </w:t>
      </w:r>
    </w:p>
    <w:p w14:paraId="6100C8EE">
      <w:pPr>
        <w:spacing w:line="300" w:lineRule="auto"/>
        <w:ind w:left="480" w:right="4980" w:hanging="84"/>
        <w:jc w:val="left"/>
        <w:rPr>
          <w:highlight w:val="none"/>
        </w:rPr>
      </w:pPr>
      <w:r>
        <w:rPr>
          <w:rFonts w:ascii="宋体" w:hAnsi="宋体" w:eastAsia="宋体" w:cs="宋体"/>
          <w:color w:val="000000"/>
          <w:sz w:val="24"/>
          <w:highlight w:val="none"/>
        </w:rPr>
        <w:t>1. 地基基础和主体结构：</w:t>
      </w:r>
    </w:p>
    <w:p w14:paraId="0F55CBC8">
      <w:pPr>
        <w:spacing w:line="300" w:lineRule="auto"/>
        <w:ind w:left="733" w:leftChars="229"/>
        <w:jc w:val="left"/>
        <w:rPr>
          <w:highlight w:val="none"/>
        </w:rPr>
      </w:pPr>
      <w:r>
        <w:rPr>
          <w:rFonts w:ascii="宋体" w:hAnsi="宋体" w:eastAsia="宋体" w:cs="宋体"/>
          <w:color w:val="000000"/>
          <w:sz w:val="24"/>
          <w:highlight w:val="none"/>
        </w:rPr>
        <w:t>保修期限为：</w:t>
      </w:r>
      <w:r>
        <w:rPr>
          <w:rFonts w:ascii="宋体" w:hAnsi="宋体" w:eastAsia="宋体" w:cs="宋体"/>
          <w:color w:val="000000"/>
          <w:sz w:val="24"/>
          <w:highlight w:val="none"/>
          <w:u w:val="single"/>
        </w:rPr>
        <w:t xml:space="preserve">     50年  </w:t>
      </w:r>
      <w:r>
        <w:rPr>
          <w:rFonts w:ascii="宋体" w:hAnsi="宋体" w:eastAsia="宋体" w:cs="宋体"/>
          <w:color w:val="000000"/>
          <w:sz w:val="24"/>
          <w:highlight w:val="none"/>
        </w:rPr>
        <w:t xml:space="preserve"> （不得低于设计文件规定的该工程的合理使用年限）；</w:t>
      </w:r>
      <w:r>
        <w:rPr>
          <w:rFonts w:ascii="宋体" w:hAnsi="宋体" w:eastAsia="宋体" w:cs="宋体"/>
          <w:color w:val="000000"/>
          <w:sz w:val="24"/>
          <w:highlight w:val="none"/>
          <w:u w:val="single"/>
        </w:rPr>
        <w:t xml:space="preserve">     该工程的合理使用年限                                           </w:t>
      </w:r>
      <w:r>
        <w:rPr>
          <w:rFonts w:ascii="宋体" w:hAnsi="宋体" w:eastAsia="宋体" w:cs="宋体"/>
          <w:color w:val="000000"/>
          <w:sz w:val="24"/>
          <w:highlight w:val="none"/>
        </w:rPr>
        <w:t>。</w:t>
      </w:r>
    </w:p>
    <w:p w14:paraId="4EBD5349">
      <w:pPr>
        <w:spacing w:line="300" w:lineRule="auto"/>
        <w:jc w:val="left"/>
        <w:rPr>
          <w:highlight w:val="none"/>
        </w:rPr>
      </w:pPr>
      <w:r>
        <w:rPr>
          <w:rFonts w:ascii="宋体" w:hAnsi="宋体" w:eastAsia="宋体" w:cs="宋体"/>
          <w:color w:val="000000"/>
          <w:sz w:val="24"/>
          <w:highlight w:val="none"/>
        </w:rPr>
        <w:t xml:space="preserve">2.屋面防水工程、有防水要求的卫生间、房间和外墙面的防渗漏： </w:t>
      </w:r>
    </w:p>
    <w:p w14:paraId="27D0D5A4">
      <w:pPr>
        <w:spacing w:line="300" w:lineRule="auto"/>
        <w:ind w:firstLine="240" w:firstLineChars="100"/>
        <w:jc w:val="left"/>
        <w:rPr>
          <w:highlight w:val="none"/>
        </w:rPr>
      </w:pPr>
      <w:r>
        <w:rPr>
          <w:rFonts w:ascii="宋体" w:hAnsi="宋体" w:eastAsia="宋体" w:cs="宋体"/>
          <w:color w:val="000000"/>
          <w:sz w:val="24"/>
          <w:highlight w:val="none"/>
        </w:rPr>
        <w:t>保修期限为：</w:t>
      </w:r>
      <w:r>
        <w:rPr>
          <w:rFonts w:ascii="宋体" w:hAnsi="宋体" w:eastAsia="宋体" w:cs="宋体"/>
          <w:color w:val="000000"/>
          <w:sz w:val="24"/>
          <w:highlight w:val="none"/>
          <w:u w:val="single"/>
        </w:rPr>
        <w:t xml:space="preserve"> 5年   </w:t>
      </w:r>
      <w:r>
        <w:rPr>
          <w:rFonts w:ascii="宋体" w:hAnsi="宋体" w:eastAsia="宋体" w:cs="宋体"/>
          <w:color w:val="000000"/>
          <w:sz w:val="24"/>
          <w:highlight w:val="none"/>
        </w:rPr>
        <w:t>（不得低于5年）；</w:t>
      </w:r>
    </w:p>
    <w:p w14:paraId="242EEB15">
      <w:pPr>
        <w:spacing w:line="300" w:lineRule="auto"/>
        <w:ind w:left="400"/>
        <w:jc w:val="left"/>
        <w:rPr>
          <w:highlight w:val="none"/>
        </w:rPr>
      </w:pPr>
      <w:r>
        <w:rPr>
          <w:rFonts w:ascii="宋体" w:hAnsi="宋体" w:eastAsia="宋体" w:cs="宋体"/>
          <w:color w:val="000000"/>
          <w:sz w:val="24"/>
          <w:highlight w:val="none"/>
        </w:rPr>
        <w:t xml:space="preserve">  </w:t>
      </w:r>
      <w:r>
        <w:rPr>
          <w:rFonts w:ascii="宋体" w:hAnsi="宋体" w:eastAsia="宋体" w:cs="宋体"/>
          <w:color w:val="000000"/>
          <w:sz w:val="24"/>
          <w:highlight w:val="none"/>
          <w:u w:val="single"/>
        </w:rPr>
        <w:t xml:space="preserve">     /                                                      </w:t>
      </w:r>
    </w:p>
    <w:p w14:paraId="4BD0C60A">
      <w:pPr>
        <w:spacing w:line="300" w:lineRule="auto"/>
        <w:ind w:left="400"/>
        <w:jc w:val="left"/>
        <w:rPr>
          <w:highlight w:val="none"/>
        </w:rPr>
      </w:pPr>
      <w:r>
        <w:rPr>
          <w:rFonts w:ascii="宋体" w:hAnsi="宋体" w:eastAsia="宋体" w:cs="宋体"/>
          <w:color w:val="000000"/>
          <w:sz w:val="24"/>
          <w:highlight w:val="none"/>
        </w:rPr>
        <w:t xml:space="preserve">3.供热、供冷系统和设备： </w:t>
      </w:r>
    </w:p>
    <w:p w14:paraId="1550A4D5">
      <w:pPr>
        <w:spacing w:line="300" w:lineRule="auto"/>
        <w:ind w:left="360" w:right="2160"/>
        <w:jc w:val="left"/>
        <w:rPr>
          <w:highlight w:val="none"/>
        </w:rPr>
      </w:pPr>
      <w:r>
        <w:rPr>
          <w:rFonts w:ascii="宋体" w:hAnsi="宋体" w:eastAsia="宋体" w:cs="宋体"/>
          <w:color w:val="000000"/>
          <w:sz w:val="24"/>
          <w:highlight w:val="none"/>
        </w:rPr>
        <w:t xml:space="preserve">保修期限为： </w:t>
      </w:r>
      <w:r>
        <w:rPr>
          <w:rFonts w:ascii="宋体" w:hAnsi="宋体" w:eastAsia="宋体" w:cs="宋体"/>
          <w:color w:val="000000"/>
          <w:sz w:val="24"/>
          <w:highlight w:val="none"/>
          <w:u w:val="single"/>
        </w:rPr>
        <w:t xml:space="preserve">  /     </w:t>
      </w:r>
      <w:r>
        <w:rPr>
          <w:rFonts w:ascii="宋体" w:hAnsi="宋体" w:eastAsia="宋体" w:cs="宋体"/>
          <w:color w:val="000000"/>
          <w:sz w:val="24"/>
          <w:highlight w:val="none"/>
        </w:rPr>
        <w:t>（不得低于2个采暖期、供冷期）；</w:t>
      </w:r>
    </w:p>
    <w:p w14:paraId="4EC44EA5">
      <w:pPr>
        <w:spacing w:line="300" w:lineRule="auto"/>
        <w:ind w:left="360" w:right="2160"/>
        <w:jc w:val="left"/>
        <w:rPr>
          <w:highlight w:val="none"/>
        </w:rPr>
      </w:pPr>
      <w:r>
        <w:rPr>
          <w:rFonts w:ascii="宋体" w:hAnsi="宋体" w:eastAsia="宋体" w:cs="宋体"/>
          <w:color w:val="000000"/>
          <w:sz w:val="24"/>
          <w:highlight w:val="none"/>
          <w:u w:val="single"/>
        </w:rPr>
        <w:t xml:space="preserve">                /                                                               </w:t>
      </w:r>
    </w:p>
    <w:p w14:paraId="17A50A76">
      <w:pPr>
        <w:spacing w:line="300" w:lineRule="auto"/>
        <w:ind w:left="360" w:right="2160"/>
        <w:jc w:val="left"/>
        <w:rPr>
          <w:highlight w:val="none"/>
        </w:rPr>
      </w:pPr>
      <w:r>
        <w:rPr>
          <w:rFonts w:ascii="宋体" w:hAnsi="宋体" w:eastAsia="宋体" w:cs="宋体"/>
          <w:color w:val="000000"/>
          <w:sz w:val="24"/>
          <w:highlight w:val="none"/>
        </w:rPr>
        <w:t>4. 电气管线、给排水管道、设备安装：</w:t>
      </w:r>
    </w:p>
    <w:p w14:paraId="7AC1A84A">
      <w:pPr>
        <w:spacing w:line="300" w:lineRule="auto"/>
        <w:ind w:right="120" w:firstLine="480"/>
        <w:jc w:val="left"/>
        <w:rPr>
          <w:highlight w:val="none"/>
        </w:rPr>
      </w:pPr>
      <w:r>
        <w:rPr>
          <w:rFonts w:ascii="宋体" w:hAnsi="宋体" w:eastAsia="宋体" w:cs="宋体"/>
          <w:color w:val="000000"/>
          <w:sz w:val="24"/>
          <w:highlight w:val="none"/>
        </w:rPr>
        <w:t xml:space="preserve"> 保修期限为：</w:t>
      </w:r>
      <w:r>
        <w:rPr>
          <w:rFonts w:ascii="宋体" w:hAnsi="宋体" w:eastAsia="宋体" w:cs="宋体"/>
          <w:color w:val="000000"/>
          <w:sz w:val="24"/>
          <w:highlight w:val="none"/>
          <w:u w:val="single"/>
        </w:rPr>
        <w:t xml:space="preserve">     2年      </w:t>
      </w:r>
      <w:r>
        <w:rPr>
          <w:rFonts w:ascii="宋体" w:hAnsi="宋体" w:eastAsia="宋体" w:cs="宋体"/>
          <w:color w:val="000000"/>
          <w:sz w:val="24"/>
          <w:highlight w:val="none"/>
        </w:rPr>
        <w:t>（不得低于2年）；</w:t>
      </w:r>
    </w:p>
    <w:p w14:paraId="7C68C61E">
      <w:pPr>
        <w:spacing w:line="300" w:lineRule="auto"/>
        <w:ind w:left="400"/>
        <w:jc w:val="left"/>
        <w:rPr>
          <w:highlight w:val="none"/>
        </w:rPr>
      </w:pPr>
      <w:r>
        <w:rPr>
          <w:rFonts w:ascii="宋体" w:hAnsi="宋体" w:eastAsia="宋体" w:cs="宋体"/>
          <w:color w:val="000000"/>
          <w:sz w:val="24"/>
          <w:highlight w:val="none"/>
        </w:rPr>
        <w:t xml:space="preserve">  </w:t>
      </w:r>
      <w:r>
        <w:rPr>
          <w:rFonts w:ascii="宋体" w:hAnsi="宋体" w:eastAsia="宋体" w:cs="宋体"/>
          <w:color w:val="000000"/>
          <w:sz w:val="24"/>
          <w:highlight w:val="none"/>
          <w:u w:val="single"/>
        </w:rPr>
        <w:t xml:space="preserve">     /                                                       </w:t>
      </w:r>
    </w:p>
    <w:p w14:paraId="4D773684">
      <w:pPr>
        <w:spacing w:line="300" w:lineRule="auto"/>
        <w:ind w:left="400"/>
        <w:jc w:val="left"/>
        <w:rPr>
          <w:highlight w:val="none"/>
        </w:rPr>
      </w:pPr>
      <w:r>
        <w:rPr>
          <w:rFonts w:ascii="宋体" w:hAnsi="宋体" w:eastAsia="宋体" w:cs="宋体"/>
          <w:color w:val="000000"/>
          <w:sz w:val="24"/>
          <w:highlight w:val="none"/>
        </w:rPr>
        <w:t>5. 装修工程：</w:t>
      </w:r>
    </w:p>
    <w:p w14:paraId="7FEB62FC">
      <w:pPr>
        <w:spacing w:line="300" w:lineRule="auto"/>
        <w:ind w:left="360" w:right="3720"/>
        <w:jc w:val="left"/>
        <w:rPr>
          <w:highlight w:val="none"/>
        </w:rPr>
      </w:pPr>
      <w:r>
        <w:rPr>
          <w:rFonts w:ascii="宋体" w:hAnsi="宋体" w:eastAsia="宋体" w:cs="宋体"/>
          <w:color w:val="000000"/>
          <w:sz w:val="24"/>
          <w:highlight w:val="none"/>
        </w:rPr>
        <w:t xml:space="preserve">保修期限为： </w:t>
      </w:r>
      <w:r>
        <w:rPr>
          <w:rFonts w:ascii="宋体" w:hAnsi="宋体" w:eastAsia="宋体" w:cs="宋体"/>
          <w:color w:val="000000"/>
          <w:sz w:val="24"/>
          <w:highlight w:val="none"/>
          <w:u w:val="single"/>
        </w:rPr>
        <w:t xml:space="preserve">   2年       </w:t>
      </w:r>
      <w:r>
        <w:rPr>
          <w:rFonts w:ascii="宋体" w:hAnsi="宋体" w:eastAsia="宋体" w:cs="宋体"/>
          <w:color w:val="000000"/>
          <w:sz w:val="24"/>
          <w:highlight w:val="none"/>
        </w:rPr>
        <w:t>（不得低于2年）；</w:t>
      </w:r>
    </w:p>
    <w:p w14:paraId="40BED8BF">
      <w:pPr>
        <w:spacing w:line="300" w:lineRule="auto"/>
        <w:ind w:left="360" w:right="320" w:rightChars="100"/>
        <w:jc w:val="left"/>
        <w:rPr>
          <w:highlight w:val="none"/>
        </w:rPr>
      </w:pPr>
      <w:r>
        <w:rPr>
          <w:rFonts w:ascii="宋体" w:hAnsi="宋体" w:eastAsia="宋体" w:cs="宋体"/>
          <w:color w:val="000000"/>
          <w:sz w:val="24"/>
          <w:highlight w:val="none"/>
          <w:u w:val="single"/>
        </w:rPr>
        <w:t xml:space="preserve">     /                                                           </w:t>
      </w:r>
    </w:p>
    <w:p w14:paraId="03D5A27A">
      <w:pPr>
        <w:spacing w:line="300" w:lineRule="auto"/>
        <w:ind w:left="360" w:right="960" w:rightChars="300"/>
        <w:jc w:val="left"/>
        <w:rPr>
          <w:highlight w:val="none"/>
        </w:rPr>
      </w:pPr>
      <w:r>
        <w:rPr>
          <w:rFonts w:ascii="宋体" w:hAnsi="宋体" w:eastAsia="宋体" w:cs="宋体"/>
          <w:color w:val="000000"/>
          <w:sz w:val="24"/>
          <w:highlight w:val="none"/>
        </w:rPr>
        <w:t>6.</w:t>
      </w:r>
      <w:r>
        <w:rPr>
          <w:rFonts w:ascii="宋体" w:hAnsi="宋体" w:eastAsia="宋体" w:cs="宋体"/>
          <w:color w:val="000000"/>
          <w:sz w:val="24"/>
          <w:highlight w:val="none"/>
          <w:u w:val="single"/>
        </w:rPr>
        <w:t xml:space="preserve">       /                                                         </w:t>
      </w:r>
    </w:p>
    <w:p w14:paraId="5E642C20">
      <w:pPr>
        <w:spacing w:line="300" w:lineRule="auto"/>
        <w:ind w:left="360" w:right="150"/>
        <w:jc w:val="left"/>
        <w:rPr>
          <w:highlight w:val="none"/>
        </w:rPr>
      </w:pPr>
      <w:r>
        <w:rPr>
          <w:rFonts w:ascii="宋体" w:hAnsi="宋体" w:eastAsia="宋体" w:cs="宋体"/>
          <w:color w:val="000000"/>
          <w:sz w:val="24"/>
          <w:highlight w:val="none"/>
        </w:rPr>
        <w:t>7.</w:t>
      </w:r>
      <w:r>
        <w:rPr>
          <w:rFonts w:ascii="宋体" w:hAnsi="宋体" w:eastAsia="宋体" w:cs="宋体"/>
          <w:color w:val="000000"/>
          <w:sz w:val="24"/>
          <w:highlight w:val="none"/>
          <w:u w:val="single"/>
        </w:rPr>
        <w:t xml:space="preserve">          /                                                      </w:t>
      </w:r>
    </w:p>
    <w:p w14:paraId="330810ED">
      <w:pPr>
        <w:spacing w:line="300" w:lineRule="auto"/>
        <w:ind w:left="360" w:right="320" w:rightChars="100"/>
        <w:jc w:val="left"/>
        <w:rPr>
          <w:highlight w:val="none"/>
        </w:rPr>
      </w:pPr>
      <w:r>
        <w:rPr>
          <w:rFonts w:ascii="宋体" w:hAnsi="宋体" w:eastAsia="宋体" w:cs="宋体"/>
          <w:color w:val="000000"/>
          <w:sz w:val="24"/>
          <w:highlight w:val="none"/>
        </w:rPr>
        <w:t>8.</w:t>
      </w:r>
      <w:r>
        <w:rPr>
          <w:rFonts w:ascii="宋体" w:hAnsi="宋体" w:eastAsia="宋体" w:cs="宋体"/>
          <w:color w:val="000000"/>
          <w:sz w:val="24"/>
          <w:highlight w:val="none"/>
          <w:u w:val="single"/>
        </w:rPr>
        <w:t xml:space="preserve">         /                                                       </w:t>
      </w:r>
    </w:p>
    <w:p w14:paraId="1B18AE04">
      <w:pPr>
        <w:spacing w:line="300" w:lineRule="auto"/>
        <w:ind w:left="360" w:right="3720"/>
        <w:jc w:val="left"/>
      </w:pPr>
      <w:r>
        <w:rPr>
          <w:rFonts w:ascii="宋体" w:hAnsi="宋体" w:eastAsia="宋体" w:cs="宋体"/>
          <w:color w:val="000000"/>
          <w:sz w:val="24"/>
        </w:rPr>
        <w:t>（二）其他约定</w:t>
      </w:r>
    </w:p>
    <w:p w14:paraId="62DA3031">
      <w:pPr>
        <w:spacing w:before="50" w:line="400" w:lineRule="exact"/>
        <w:ind w:firstLine="420" w:firstLineChars="200"/>
      </w:pPr>
      <w:r>
        <w:rPr>
          <w:rFonts w:ascii="宋体" w:hAnsi="宋体" w:eastAsia="宋体" w:cs="宋体"/>
          <w:color w:val="000000"/>
          <w:sz w:val="21"/>
          <w:u w:val="single"/>
        </w:rPr>
        <w:t>1、该房屋的主体工程保修范围和保修期限以出卖人提供的《住宅质量保证书》为准，保修期自交付之日（包括视为交付之日）起算。</w:t>
      </w:r>
    </w:p>
    <w:p w14:paraId="1DC98F95">
      <w:pPr>
        <w:spacing w:before="50" w:line="400" w:lineRule="exact"/>
        <w:ind w:firstLine="420" w:firstLineChars="200"/>
      </w:pPr>
      <w:r>
        <w:rPr>
          <w:rFonts w:ascii="宋体" w:hAnsi="宋体" w:eastAsia="宋体" w:cs="宋体"/>
          <w:color w:val="000000"/>
          <w:sz w:val="21"/>
          <w:u w:val="single"/>
        </w:rPr>
        <w:t>2、因买受人或使用人的责任（包括但不限于使用不当、改动不当、装修不当、未按时领房、未通风防晒防雨雪等）或第三方原因或不可抗力或因其他不可归责于出卖人的事由而发生的质量问题，出卖人均不承担保修责任和由此产生的损失。因买受人自身原因延误保修或不积极配合出卖人维修而扩大的损失，出卖人不承担该部分责任。</w:t>
      </w:r>
    </w:p>
    <w:p w14:paraId="41A1AAE6">
      <w:pPr>
        <w:spacing w:before="50" w:line="400" w:lineRule="exact"/>
        <w:ind w:firstLine="420" w:firstLineChars="200"/>
      </w:pPr>
      <w:r>
        <w:rPr>
          <w:rFonts w:ascii="宋体" w:hAnsi="宋体" w:eastAsia="宋体" w:cs="宋体"/>
          <w:color w:val="000000"/>
          <w:sz w:val="21"/>
          <w:u w:val="single"/>
        </w:rPr>
        <w:t>3、非房屋地基基础和主体结构的质量问题，在保修期内出卖人承担维修责任，但买受人不得以此为由要求退房或延期交付，买受人须按《交付通知书》指定的时间办理交付手续。</w:t>
      </w:r>
    </w:p>
    <w:p w14:paraId="4E2D0235">
      <w:pPr>
        <w:spacing w:before="50" w:line="400" w:lineRule="exact"/>
        <w:ind w:firstLine="420" w:firstLineChars="200"/>
      </w:pPr>
      <w:r>
        <w:rPr>
          <w:rFonts w:ascii="宋体" w:hAnsi="宋体" w:eastAsia="宋体" w:cs="宋体"/>
          <w:color w:val="000000"/>
          <w:sz w:val="21"/>
          <w:u w:val="single"/>
        </w:rPr>
        <w:t>4、买受人提出该商品房质量问题的，出卖人会同物业管理单位根据《住宅质量保证书》相关规定实施维修，若买受人不予配合导致出卖人无法进行保修的，出卖人不承担法律责任；买受人应积极配合出卖人的维修工作，维修期间，出卖人不承担任何违约责任；维修工作完成后，双方应当自出卖人通知之日起五日内进行验收，如买受人未到场验收或未签署意见的，视为买受人认可工程质量问题已修复，通知之日为维修合格日，不再持有任何异议。</w:t>
      </w:r>
    </w:p>
    <w:p w14:paraId="5340D4A6">
      <w:pPr>
        <w:spacing w:before="50" w:line="400" w:lineRule="exact"/>
        <w:ind w:firstLine="420" w:firstLineChars="200"/>
      </w:pPr>
      <w:r>
        <w:rPr>
          <w:rFonts w:ascii="宋体" w:hAnsi="宋体" w:eastAsia="宋体" w:cs="宋体"/>
          <w:color w:val="000000"/>
          <w:sz w:val="21"/>
          <w:u w:val="single"/>
        </w:rPr>
        <w:t>5、房屋内的电器、设备等保修责任由供应厂家承担，具体的保修责任范围、保修办法、保修期限根据相关供应厂家的保修条款执行。</w:t>
      </w:r>
    </w:p>
    <w:p w14:paraId="79CC3C5B">
      <w:pPr>
        <w:spacing w:before="50" w:line="400" w:lineRule="exact"/>
        <w:ind w:firstLine="420" w:firstLineChars="200"/>
      </w:pPr>
      <w:r>
        <w:rPr>
          <w:rFonts w:ascii="宋体" w:hAnsi="宋体" w:eastAsia="宋体" w:cs="宋体"/>
          <w:color w:val="000000"/>
          <w:sz w:val="21"/>
          <w:u w:val="single"/>
        </w:rPr>
        <w:t>6、买受人同意，在出卖人承担保修责任、物业管理公司对公共部位进行保养维修或受业主委托进行房屋维修时，若该保修或维修需要通过、进入或占用相邻业主房屋专用部分的，相邻业主应当提供必要的便利和配合。若买受人未履行该义务而造成的扩大损失，由买受人承担责任，出卖人及物业管理公司不承担责任。</w:t>
      </w:r>
    </w:p>
    <w:p w14:paraId="116AEAF1">
      <w:pPr>
        <w:spacing w:line="300" w:lineRule="auto"/>
        <w:jc w:val="left"/>
      </w:pPr>
    </w:p>
    <w:p w14:paraId="2BC9AC5F">
      <w:pPr>
        <w:spacing w:line="300" w:lineRule="auto"/>
        <w:jc w:val="left"/>
      </w:pPr>
      <w:r>
        <w:rPr>
          <w:rFonts w:ascii="宋体" w:hAnsi="宋体" w:eastAsia="宋体" w:cs="宋体"/>
          <w:b/>
          <w:color w:val="000000"/>
          <w:sz w:val="24"/>
        </w:rPr>
        <w:t> </w:t>
      </w:r>
    </w:p>
    <w:p w14:paraId="0FEF613E">
      <w:pPr>
        <w:spacing w:line="300" w:lineRule="auto"/>
        <w:jc w:val="left"/>
      </w:pPr>
      <w:r>
        <w:rPr>
          <w:rFonts w:ascii="宋体" w:hAnsi="宋体" w:eastAsia="宋体" w:cs="宋体"/>
          <w:b/>
          <w:color w:val="000000"/>
          <w:sz w:val="24"/>
        </w:rPr>
        <w:t> </w:t>
      </w:r>
    </w:p>
    <w:p w14:paraId="204598CF">
      <w:pPr>
        <w:spacing w:line="300" w:lineRule="auto"/>
        <w:jc w:val="left"/>
      </w:pPr>
    </w:p>
    <w:p w14:paraId="12F53EFD">
      <w:pPr>
        <w:spacing w:line="300" w:lineRule="auto"/>
        <w:jc w:val="left"/>
      </w:pPr>
    </w:p>
    <w:p w14:paraId="49620DF9">
      <w:pPr>
        <w:spacing w:line="300" w:lineRule="auto"/>
        <w:jc w:val="left"/>
      </w:pPr>
      <w:r>
        <w:rPr>
          <w:rFonts w:ascii="宋体" w:hAnsi="宋体" w:eastAsia="宋体" w:cs="宋体"/>
          <w:b/>
          <w:color w:val="000000"/>
          <w:sz w:val="24"/>
        </w:rPr>
        <w:t>附件八 关于质量担保的证明</w:t>
      </w:r>
    </w:p>
    <w:p w14:paraId="083AFDA6">
      <w:pPr>
        <w:spacing w:line="300" w:lineRule="auto"/>
        <w:jc w:val="left"/>
      </w:pPr>
      <w:r>
        <w:rPr>
          <w:rFonts w:ascii="宋体" w:hAnsi="宋体" w:eastAsia="宋体" w:cs="宋体"/>
          <w:b/>
          <w:color w:val="000000"/>
          <w:sz w:val="24"/>
          <w:u w:val="single"/>
        </w:rPr>
        <w:t>/</w:t>
      </w:r>
    </w:p>
    <w:p w14:paraId="39032FD5">
      <w:pPr>
        <w:spacing w:line="300" w:lineRule="auto"/>
        <w:jc w:val="left"/>
      </w:pPr>
      <w:r>
        <w:rPr>
          <w:rFonts w:ascii="宋体" w:hAnsi="宋体" w:eastAsia="宋体" w:cs="宋体"/>
          <w:b/>
          <w:color w:val="000000"/>
          <w:sz w:val="24"/>
          <w:u w:val="single"/>
        </w:rPr>
        <w:t> </w:t>
      </w:r>
    </w:p>
    <w:p w14:paraId="49725EDE">
      <w:pPr>
        <w:spacing w:line="300" w:lineRule="auto"/>
        <w:jc w:val="left"/>
      </w:pPr>
      <w:r>
        <w:rPr>
          <w:rFonts w:ascii="宋体" w:hAnsi="宋体" w:eastAsia="宋体" w:cs="宋体"/>
          <w:b/>
          <w:color w:val="000000"/>
          <w:sz w:val="24"/>
          <w:u w:val="single"/>
        </w:rPr>
        <w:t> </w:t>
      </w:r>
    </w:p>
    <w:p w14:paraId="258513D6">
      <w:pPr>
        <w:spacing w:line="300" w:lineRule="auto"/>
        <w:jc w:val="left"/>
      </w:pPr>
      <w:r>
        <w:rPr>
          <w:rFonts w:ascii="宋体" w:hAnsi="宋体" w:eastAsia="宋体" w:cs="宋体"/>
          <w:b/>
          <w:color w:val="000000"/>
          <w:sz w:val="24"/>
        </w:rPr>
        <w:t> </w:t>
      </w:r>
    </w:p>
    <w:p w14:paraId="7283868D">
      <w:pPr>
        <w:spacing w:line="300" w:lineRule="auto"/>
        <w:jc w:val="left"/>
      </w:pPr>
      <w:r>
        <w:rPr>
          <w:rFonts w:ascii="宋体" w:hAnsi="宋体" w:eastAsia="宋体" w:cs="宋体"/>
          <w:b/>
          <w:color w:val="000000"/>
          <w:sz w:val="24"/>
        </w:rPr>
        <w:t> </w:t>
      </w:r>
    </w:p>
    <w:p w14:paraId="2D5AB699">
      <w:pPr>
        <w:spacing w:line="300" w:lineRule="auto"/>
        <w:jc w:val="left"/>
      </w:pPr>
      <w:r>
        <w:rPr>
          <w:rFonts w:ascii="宋体" w:hAnsi="宋体" w:eastAsia="宋体" w:cs="宋体"/>
          <w:b/>
          <w:color w:val="000000"/>
          <w:sz w:val="24"/>
        </w:rPr>
        <w:t> </w:t>
      </w:r>
    </w:p>
    <w:p w14:paraId="1D27CD0E">
      <w:pPr>
        <w:spacing w:line="300" w:lineRule="auto"/>
        <w:jc w:val="left"/>
      </w:pPr>
      <w:r>
        <w:rPr>
          <w:rFonts w:ascii="宋体" w:hAnsi="宋体" w:eastAsia="宋体" w:cs="宋体"/>
          <w:b/>
          <w:color w:val="000000"/>
          <w:sz w:val="24"/>
        </w:rPr>
        <w:t> </w:t>
      </w:r>
    </w:p>
    <w:p w14:paraId="53E4292A">
      <w:pPr>
        <w:spacing w:line="300" w:lineRule="auto"/>
        <w:jc w:val="left"/>
      </w:pPr>
    </w:p>
    <w:p w14:paraId="19A63908">
      <w:pPr>
        <w:spacing w:line="300" w:lineRule="auto"/>
        <w:jc w:val="left"/>
      </w:pPr>
      <w:r>
        <w:rPr>
          <w:rFonts w:ascii="宋体" w:hAnsi="宋体" w:eastAsia="宋体" w:cs="宋体"/>
          <w:b/>
          <w:color w:val="000000"/>
          <w:sz w:val="24"/>
        </w:rPr>
        <w:t>附件九 关于前期物业管理的约定</w:t>
      </w:r>
    </w:p>
    <w:p w14:paraId="4AFEBD31">
      <w:pPr>
        <w:spacing w:line="300" w:lineRule="auto"/>
        <w:jc w:val="left"/>
      </w:pPr>
      <w:r>
        <w:rPr>
          <w:rFonts w:ascii="宋体" w:hAnsi="宋体" w:eastAsia="宋体" w:cs="宋体"/>
          <w:color w:val="000000"/>
          <w:sz w:val="24"/>
        </w:rPr>
        <w:t> </w:t>
      </w:r>
    </w:p>
    <w:p w14:paraId="480C379F">
      <w:pPr>
        <w:tabs>
          <w:tab w:val="left" w:pos="720"/>
        </w:tabs>
        <w:spacing w:before="7" w:line="300" w:lineRule="auto"/>
        <w:ind w:left="720" w:hanging="360"/>
        <w:jc w:val="left"/>
      </w:pPr>
      <w:r>
        <w:rPr>
          <w:rFonts w:ascii="宋体" w:hAnsi="宋体" w:eastAsia="宋体" w:cs="宋体"/>
          <w:color w:val="000000"/>
          <w:sz w:val="24"/>
        </w:rPr>
        <w:t>1.前期物业服务协议</w:t>
      </w:r>
    </w:p>
    <w:p w14:paraId="5B819EB3">
      <w:pPr>
        <w:tabs>
          <w:tab w:val="left" w:pos="720"/>
          <w:tab w:val="left" w:pos="780"/>
        </w:tabs>
        <w:spacing w:line="300" w:lineRule="auto"/>
        <w:ind w:left="780"/>
      </w:pPr>
      <w:r>
        <w:rPr>
          <w:rFonts w:ascii="宋体" w:hAnsi="宋体" w:eastAsia="宋体" w:cs="宋体"/>
          <w:color w:val="000000"/>
          <w:sz w:val="24"/>
        </w:rPr>
        <w:t> </w:t>
      </w:r>
    </w:p>
    <w:p w14:paraId="73F29D7E">
      <w:pPr>
        <w:tabs>
          <w:tab w:val="left" w:pos="780"/>
        </w:tabs>
        <w:spacing w:line="300" w:lineRule="auto"/>
        <w:ind w:left="780" w:hanging="303"/>
      </w:pPr>
      <w:r>
        <w:rPr>
          <w:rFonts w:ascii="宋体" w:hAnsi="宋体" w:eastAsia="宋体" w:cs="宋体"/>
          <w:color w:val="000000"/>
          <w:sz w:val="24"/>
        </w:rPr>
        <w:t xml:space="preserve">2.临时管理规约 </w:t>
      </w:r>
    </w:p>
    <w:p w14:paraId="0AB422B8">
      <w:pPr>
        <w:spacing w:line="300" w:lineRule="auto"/>
        <w:ind w:left="720"/>
      </w:pPr>
      <w:r>
        <w:rPr>
          <w:rFonts w:ascii="宋体" w:hAnsi="宋体" w:eastAsia="宋体" w:cs="宋体"/>
          <w:color w:val="000000"/>
          <w:sz w:val="24"/>
          <w:u w:val="single"/>
        </w:rPr>
        <w:t>/</w:t>
      </w:r>
    </w:p>
    <w:p w14:paraId="09B53A71"/>
    <w:p w14:paraId="7DC325B7"/>
    <w:p w14:paraId="511DB468">
      <w:pPr>
        <w:spacing w:line="274" w:lineRule="auto"/>
        <w:jc w:val="left"/>
      </w:pPr>
      <w:r>
        <w:rPr>
          <w:rFonts w:ascii="宋体" w:hAnsi="宋体" w:eastAsia="宋体" w:cs="宋体"/>
          <w:b/>
          <w:color w:val="000000"/>
          <w:sz w:val="24"/>
        </w:rPr>
        <w:t>附件十 出卖人关于遮挡或妨碍房屋正常使用情况的说明</w:t>
      </w:r>
    </w:p>
    <w:p w14:paraId="02A2CC3C">
      <w:pPr>
        <w:spacing w:line="274" w:lineRule="auto"/>
        <w:ind w:right="120" w:firstLine="396"/>
        <w:jc w:val="left"/>
      </w:pPr>
      <w:r>
        <w:rPr>
          <w:rFonts w:ascii="宋体" w:hAnsi="宋体" w:eastAsia="宋体" w:cs="宋体"/>
          <w:color w:val="000000"/>
          <w:sz w:val="24"/>
        </w:rPr>
        <w:t>（如：该商品房公共管道检修口、柱子、变电箱等有遮挡或妨碍房屋正常使用的情况）</w:t>
      </w:r>
    </w:p>
    <w:p w14:paraId="0A19B827">
      <w:pPr>
        <w:spacing w:before="50" w:line="400" w:lineRule="exact"/>
        <w:ind w:firstLine="420" w:firstLineChars="200"/>
      </w:pPr>
      <w:r>
        <w:rPr>
          <w:rFonts w:ascii="宋体" w:hAnsi="宋体" w:eastAsia="宋体" w:cs="宋体"/>
          <w:color w:val="000000"/>
          <w:sz w:val="21"/>
        </w:rPr>
        <w:t>1、【关于层高的补充约定】本合同第三条所列层高为设计标准层层高，非楼层净高及实际使用高度。买受人所购商品房特殊部位层高在符合国家强制性规范下可能高于或低于该层高。若买受人所购商品房另有地下附属面积的，则不适用《商品房买卖合同》第三条所述的层高，以实际交付为准。</w:t>
      </w:r>
    </w:p>
    <w:p w14:paraId="78E69A92">
      <w:pPr>
        <w:spacing w:before="50" w:line="400" w:lineRule="exact"/>
        <w:ind w:firstLine="420" w:firstLineChars="200"/>
      </w:pPr>
      <w:r>
        <w:rPr>
          <w:rFonts w:ascii="宋体" w:hAnsi="宋体" w:eastAsia="宋体" w:cs="宋体"/>
          <w:color w:val="000000"/>
          <w:sz w:val="21"/>
        </w:rPr>
        <w:t>2、【关于管线及设备的补充约定】该商品房内部存在的管线、设施设备（如消防设备等）及梁、柱、板等装置、结构等可能导致该商品房局部区域实际使用高度降低、使用空间减少，可能对后期装修及使用产生影响。</w:t>
      </w:r>
    </w:p>
    <w:p w14:paraId="5C9CCE44">
      <w:pPr>
        <w:spacing w:before="50" w:line="400" w:lineRule="exact"/>
        <w:ind w:firstLine="420" w:firstLineChars="200"/>
      </w:pPr>
      <w:r>
        <w:rPr>
          <w:rFonts w:ascii="宋体" w:hAnsi="宋体" w:eastAsia="宋体" w:cs="宋体"/>
          <w:color w:val="000000"/>
          <w:sz w:val="21"/>
        </w:rPr>
        <w:t>3、【关于腰线的补充约定】双方共同确认：因建筑立面设计要求，各楼幢的2层设有装饰线条，导致该层户型的门窗尺寸、阳台栏板的材质和形式等与标准层有所不同，对该层房屋的采光、视线、景观等产生一定影响，买受人同意自行注意使用安全以及使用过程中对上述产品、配件的维修、养护并且不因此向出卖人提出任何主张或者索赔。</w:t>
      </w:r>
    </w:p>
    <w:p w14:paraId="56740A41">
      <w:pPr>
        <w:spacing w:before="50" w:line="400" w:lineRule="exact"/>
        <w:ind w:firstLine="420" w:firstLineChars="200"/>
      </w:pPr>
      <w:r>
        <w:rPr>
          <w:rFonts w:ascii="宋体" w:hAnsi="宋体" w:eastAsia="宋体" w:cs="宋体"/>
          <w:color w:val="000000"/>
          <w:sz w:val="21"/>
        </w:rPr>
        <w:t>4、【关于楼宇层数的补充约定】本项目因设计风格要求，相同楼宇的不同单元楼层层数并不相同，买受人在订立合同前已经充分了解所购房屋在该幢楼宇中的位置、户型、 朝向及与周边建筑的相邻关系。</w:t>
      </w:r>
    </w:p>
    <w:p w14:paraId="1439D847">
      <w:pPr>
        <w:spacing w:before="50" w:line="400" w:lineRule="exact"/>
        <w:ind w:firstLine="420" w:firstLineChars="200"/>
      </w:pPr>
      <w:r>
        <w:rPr>
          <w:rFonts w:ascii="宋体" w:hAnsi="宋体" w:eastAsia="宋体" w:cs="宋体"/>
          <w:color w:val="000000"/>
          <w:sz w:val="21"/>
        </w:rPr>
        <w:t>5、【关于特殊立面的补充约定】本项目因设计风格要求，各楼宇外立面设有檐面、装饰墙、装饰构造物、特殊材质等，可能对相邻楼层、相邻户型的日照、采光、视线、景观等产生一定影响。</w:t>
      </w:r>
    </w:p>
    <w:p w14:paraId="1CC476E0"/>
    <w:p w14:paraId="7923BA4B"/>
    <w:p w14:paraId="38B8A281">
      <w:pPr>
        <w:spacing w:line="274" w:lineRule="auto"/>
        <w:jc w:val="left"/>
      </w:pPr>
      <w:r>
        <w:rPr>
          <w:rFonts w:ascii="Microsoft JhengHei" w:hAnsi="Microsoft JhengHei" w:eastAsia="Microsoft JhengHei" w:cs="Microsoft JhengHei"/>
          <w:b/>
          <w:color w:val="000000"/>
          <w:sz w:val="24"/>
        </w:rPr>
        <w:t>附件十一 补充协议</w:t>
      </w:r>
    </w:p>
    <w:p w14:paraId="7EB2311F">
      <w:pPr>
        <w:spacing w:line="274" w:lineRule="auto"/>
        <w:jc w:val="left"/>
      </w:pPr>
      <w:r>
        <w:rPr>
          <w:rFonts w:ascii="宋体" w:hAnsi="宋体" w:eastAsia="宋体" w:cs="宋体"/>
          <w:color w:val="000000"/>
          <w:sz w:val="24"/>
        </w:rPr>
        <w:t>详见双方签订的《补充协议》</w:t>
      </w:r>
    </w:p>
    <w:p w14:paraId="4C314FD9">
      <w:pPr>
        <w:spacing w:line="300" w:lineRule="auto"/>
        <w:jc w:val="left"/>
      </w:pPr>
      <w:r>
        <w:rPr>
          <w:rFonts w:ascii="宋体" w:hAnsi="宋体" w:eastAsia="宋体" w:cs="宋体"/>
          <w:b/>
          <w:color w:val="000000"/>
          <w:spacing w:val="2"/>
          <w:sz w:val="24"/>
        </w:rPr>
        <w:t> </w:t>
      </w:r>
    </w:p>
    <w:p w14:paraId="495499CA"/>
    <w:p w14:paraId="0F05A753"/>
    <w:p w14:paraId="3F4E604F">
      <w:pPr>
        <w:spacing w:before="50" w:after="120" w:line="250" w:lineRule="exact"/>
        <w:jc w:val="left"/>
      </w:pPr>
      <w:r>
        <w:rPr>
          <w:rFonts w:ascii="宋体" w:hAnsi="宋体" w:eastAsia="宋体" w:cs="宋体"/>
          <w:b/>
          <w:color w:val="000000"/>
          <w:spacing w:val="1"/>
          <w:sz w:val="24"/>
        </w:rPr>
        <w:t>附件十一  补充协议</w:t>
      </w:r>
    </w:p>
    <w:p w14:paraId="3195C356">
      <w:pPr>
        <w:spacing w:line="460" w:lineRule="exact"/>
        <w:ind w:firstLine="420" w:firstLineChars="200"/>
      </w:pPr>
      <w:r>
        <w:rPr>
          <w:rFonts w:ascii="宋体" w:hAnsi="宋体" w:eastAsia="宋体" w:cs="宋体"/>
          <w:color w:val="000000"/>
          <w:sz w:val="21"/>
        </w:rPr>
        <w:t>出卖人、买受人在《商品房买卖合同》及前述附件的基础上，经自愿协商一致，订立如下条款，作为对《商品房买卖合同》（以下简称“合同”或“本合同”）的修改和补充：</w:t>
      </w:r>
    </w:p>
    <w:p w14:paraId="053F3B19">
      <w:pPr>
        <w:spacing w:line="300" w:lineRule="auto"/>
        <w:ind w:firstLine="420" w:firstLineChars="200"/>
      </w:pPr>
      <w:r>
        <w:rPr>
          <w:rFonts w:ascii="宋体" w:hAnsi="宋体" w:eastAsia="宋体" w:cs="宋体"/>
          <w:color w:val="000000"/>
          <w:sz w:val="21"/>
        </w:rPr>
        <w:t> </w:t>
      </w:r>
    </w:p>
    <w:p w14:paraId="1B5211B6">
      <w:pPr>
        <w:spacing w:line="300" w:lineRule="auto"/>
        <w:ind w:firstLine="422" w:firstLineChars="200"/>
      </w:pPr>
      <w:r>
        <w:rPr>
          <w:rFonts w:ascii="宋体" w:hAnsi="宋体" w:eastAsia="宋体" w:cs="宋体"/>
          <w:b/>
          <w:color w:val="000000"/>
          <w:sz w:val="21"/>
        </w:rPr>
        <w:t>一、关于商品房基本情况的补充约定</w:t>
      </w:r>
    </w:p>
    <w:p w14:paraId="21C4F660">
      <w:pPr>
        <w:spacing w:line="300" w:lineRule="auto"/>
        <w:ind w:firstLine="420" w:firstLineChars="200"/>
      </w:pPr>
      <w:r>
        <w:rPr>
          <w:rFonts w:ascii="宋体" w:hAnsi="宋体" w:eastAsia="宋体" w:cs="宋体"/>
          <w:color w:val="000000"/>
          <w:sz w:val="21"/>
        </w:rPr>
        <w:t>1、本合同第一条第二款的商品房项目核准名称“【聆溪雅庭】”系指该商品房所在项目经地名办核准的名称，本项目推广名为“【山水·云溪里】”。本项目命名权归出卖人所有，买受人同意，商品房交付买受人使用前，出卖人有权变更项目核准名称，但须经所在地地名办重新核准。</w:t>
      </w:r>
    </w:p>
    <w:p w14:paraId="2D8CEC65">
      <w:pPr>
        <w:spacing w:line="300" w:lineRule="auto"/>
        <w:ind w:firstLine="420" w:firstLineChars="200"/>
      </w:pPr>
      <w:r>
        <w:rPr>
          <w:rFonts w:ascii="宋体" w:hAnsi="宋体" w:eastAsia="宋体" w:cs="宋体"/>
          <w:color w:val="000000"/>
          <w:sz w:val="21"/>
        </w:rPr>
        <w:t>2、为满足业主雨天出行的生活便利要求，本小区部分或全部单元门有装饰线条。受装饰线条形状和材质影响，可能会对单元门周边商品房业主产生噪音、景观视线遮挡。买受人对此己充分了解并无异议。双方共同确认：相关产品、配件的制造、供货、安装以及施工均符合本合同签订时我国的强制标准（如有），买受人同意自行注意使用安全以及使用过程中对上述产品、配件的维修、养护并且不因此向出卖人提出任何主张或者索赔。</w:t>
      </w:r>
    </w:p>
    <w:p w14:paraId="49236C09">
      <w:pPr>
        <w:spacing w:line="300" w:lineRule="auto"/>
        <w:ind w:firstLine="420" w:firstLineChars="200"/>
      </w:pPr>
      <w:r>
        <w:rPr>
          <w:rFonts w:ascii="宋体" w:hAnsi="宋体" w:eastAsia="宋体" w:cs="宋体"/>
          <w:color w:val="000000"/>
          <w:sz w:val="21"/>
        </w:rPr>
        <w:t>3、合同第三条第三款中的“房屋竣工后，如房号发生改变”，系指房屋竣工后该商品房的幢、座、单元、层或号中的任一项或几项发生改变的情形。房号发生改变后，双方以根据原房号确定的特定位置商品房为标的继续履行本合同，出卖人不承担违约责任。</w:t>
      </w:r>
    </w:p>
    <w:p w14:paraId="27799680">
      <w:pPr>
        <w:spacing w:line="300" w:lineRule="auto"/>
        <w:ind w:firstLine="420" w:firstLineChars="200"/>
      </w:pPr>
      <w:r>
        <w:rPr>
          <w:rFonts w:ascii="宋体" w:hAnsi="宋体" w:eastAsia="宋体" w:cs="宋体"/>
          <w:color w:val="000000"/>
          <w:sz w:val="21"/>
        </w:rPr>
        <w:t>4、合同第三条中的层高为该商品房的设计标准层高，在符合相关规范的前提下，房屋局部高于或低于该层高，上述误差不视作甲方设计变更或工程质量问题，不构成甲方违约。</w:t>
      </w:r>
    </w:p>
    <w:p w14:paraId="5096D357">
      <w:pPr>
        <w:spacing w:line="300" w:lineRule="auto"/>
        <w:ind w:firstLine="420" w:firstLineChars="200"/>
      </w:pPr>
      <w:r>
        <w:rPr>
          <w:rFonts w:ascii="宋体" w:hAnsi="宋体" w:eastAsia="宋体" w:cs="宋体"/>
          <w:color w:val="000000"/>
          <w:sz w:val="21"/>
        </w:rPr>
        <w:t> </w:t>
      </w:r>
    </w:p>
    <w:p w14:paraId="69F24F14">
      <w:pPr>
        <w:spacing w:line="300" w:lineRule="auto"/>
        <w:ind w:firstLine="422" w:firstLineChars="200"/>
      </w:pPr>
      <w:r>
        <w:rPr>
          <w:rFonts w:ascii="宋体" w:hAnsi="宋体" w:eastAsia="宋体" w:cs="宋体"/>
          <w:b/>
          <w:color w:val="000000"/>
          <w:sz w:val="21"/>
        </w:rPr>
        <w:t>二、关于买受人付款的约定</w:t>
      </w:r>
    </w:p>
    <w:p w14:paraId="0316CB33">
      <w:pPr>
        <w:spacing w:line="300" w:lineRule="auto"/>
        <w:ind w:firstLine="420" w:firstLineChars="200"/>
      </w:pPr>
      <w:r>
        <w:rPr>
          <w:rFonts w:ascii="宋体" w:hAnsi="宋体" w:eastAsia="宋体" w:cs="宋体"/>
          <w:color w:val="000000"/>
          <w:sz w:val="21"/>
        </w:rPr>
        <w:t xml:space="preserve">1、买受人声明并保证其支付（包括通过第三人代为支付）的购房款及有关费用的所有资金来源完全合法，且对该等资金享有所有权和处分权。若任何第三方向出卖人主张对该等资金的权利或异议的，买受人有义务消除该种情形及因此产生的不利影响；若该等资金全部或部分被他人通过法律程序主张或被依法强制退还给任何第三方的，视为买受人自始未付清房价款，按买受人逾期付款处理，买受人无权要求出卖人交付所购商品房及要求办理产权转移登记。买受人在前述情形发生后15日内未以其它合法资金补足付清房款的，出卖人即有权单方解除商品房买卖合同，买受人应按本合同总房价款的10%向出卖人支付违约金。 </w:t>
      </w:r>
    </w:p>
    <w:p w14:paraId="37BDFEA6">
      <w:pPr>
        <w:spacing w:line="300" w:lineRule="auto"/>
        <w:ind w:firstLine="420" w:firstLineChars="200"/>
      </w:pPr>
      <w:r>
        <w:rPr>
          <w:rFonts w:ascii="宋体" w:hAnsi="宋体" w:eastAsia="宋体" w:cs="宋体"/>
          <w:color w:val="000000"/>
          <w:sz w:val="21"/>
        </w:rPr>
        <w:t>2、本合同第七条第（一）款买受人签订本合同前已支付的定金为本合同签订前的订约定金，不构成本合同项下的履约定金或违约定金。本合同履约过程中发生违约行为的，按照本合同相应违约责任条款执行，不适用定金罚则。</w:t>
      </w:r>
    </w:p>
    <w:p w14:paraId="7492E250">
      <w:pPr>
        <w:spacing w:line="300" w:lineRule="auto"/>
        <w:ind w:firstLine="420" w:firstLineChars="200"/>
      </w:pPr>
      <w:r>
        <w:rPr>
          <w:rFonts w:ascii="宋体" w:hAnsi="宋体" w:eastAsia="宋体" w:cs="宋体"/>
          <w:color w:val="000000"/>
          <w:sz w:val="21"/>
        </w:rPr>
        <w:t>3、买受人在合同约定的房价款及应偿付的违约金未付清的情况下，买受人无权要求出卖人交付其所购的商品房，该商品房的所有权属于出卖人，买受人未经出卖人同意不得以任何方式处置该商品房或基于该商品房的合同而设定任何不利于出卖人对该商品房所有权及合同权利的限制。该商品房或商品房买卖合同中的买受人权利被买受人或司法机关以任何形式处置的，则处置所得价款应首先用于清偿买受人相应的违约金及未付剩余房款。</w:t>
      </w:r>
    </w:p>
    <w:p w14:paraId="0A867D24">
      <w:pPr>
        <w:spacing w:line="300" w:lineRule="auto"/>
        <w:ind w:firstLine="420" w:firstLineChars="200"/>
      </w:pPr>
      <w:r>
        <w:rPr>
          <w:rFonts w:ascii="宋体" w:hAnsi="宋体" w:eastAsia="宋体" w:cs="宋体"/>
          <w:color w:val="000000"/>
          <w:sz w:val="21"/>
        </w:rPr>
        <w:t>4、商品房买卖合同约定的房屋价格及其他条款为双方真实意思表示，并经书面确认，双方理解买受人购买力及财产等自身客观情况发生变化、出卖人财产及经营状况等自身客观情况发生变化、房屋因市场变化而贬值或升值等均属商业风险范畴，任何一方不得据此主张变更、撤销或解除合同，或请求确认本合同无效。拒不履行合同义务的，应依法或依约承担违约责任。</w:t>
      </w:r>
    </w:p>
    <w:p w14:paraId="1927AF62">
      <w:pPr>
        <w:spacing w:line="300" w:lineRule="auto"/>
        <w:ind w:firstLine="420" w:firstLineChars="200"/>
      </w:pPr>
      <w:r>
        <w:rPr>
          <w:rFonts w:ascii="Calibri" w:hAnsi="Calibri" w:cs="Calibri"/>
          <w:color w:val="000000"/>
          <w:sz w:val="21"/>
        </w:rPr>
        <w:t>5</w:t>
      </w:r>
      <w:r>
        <w:rPr>
          <w:rFonts w:ascii="宋体" w:hAnsi="宋体" w:eastAsia="宋体" w:cs="宋体"/>
          <w:color w:val="000000"/>
          <w:sz w:val="21"/>
        </w:rPr>
        <w:t>、买受人应自行承担其它单位对该商品房收取的任何税金及附加、费用（包括但不限于有线电视开通费、电话开户费、网络开户费、物业服务费、公共维修资金</w:t>
      </w:r>
      <w:r>
        <w:rPr>
          <w:rFonts w:ascii="Calibri" w:hAnsi="Calibri" w:cs="Calibri"/>
          <w:color w:val="000000"/>
          <w:sz w:val="21"/>
        </w:rPr>
        <w:t>/</w:t>
      </w:r>
      <w:r>
        <w:rPr>
          <w:rFonts w:ascii="宋体" w:hAnsi="宋体" w:eastAsia="宋体" w:cs="宋体"/>
          <w:color w:val="000000"/>
          <w:sz w:val="21"/>
        </w:rPr>
        <w:t>住宅专项维修资金等）。</w:t>
      </w:r>
    </w:p>
    <w:p w14:paraId="356066C5">
      <w:pPr>
        <w:spacing w:line="300" w:lineRule="auto"/>
      </w:pPr>
      <w:r>
        <w:rPr>
          <w:rFonts w:ascii="宋体" w:hAnsi="宋体" w:eastAsia="宋体" w:cs="宋体"/>
          <w:color w:val="000000"/>
          <w:sz w:val="21"/>
        </w:rPr>
        <w:t> </w:t>
      </w:r>
    </w:p>
    <w:p w14:paraId="0A9E0604">
      <w:pPr>
        <w:spacing w:line="300" w:lineRule="auto"/>
        <w:ind w:firstLine="422" w:firstLineChars="200"/>
      </w:pPr>
      <w:r>
        <w:rPr>
          <w:rFonts w:ascii="宋体" w:hAnsi="宋体" w:eastAsia="宋体" w:cs="宋体"/>
          <w:b/>
          <w:color w:val="000000"/>
          <w:sz w:val="21"/>
        </w:rPr>
        <w:t>三、关于对买受人未按时偿还按揭贷款的约定</w:t>
      </w:r>
    </w:p>
    <w:p w14:paraId="357E86A9">
      <w:pPr>
        <w:spacing w:line="300" w:lineRule="auto"/>
        <w:ind w:firstLine="420" w:firstLineChars="200"/>
      </w:pPr>
      <w:r>
        <w:rPr>
          <w:rFonts w:ascii="宋体" w:hAnsi="宋体" w:eastAsia="宋体" w:cs="宋体"/>
          <w:color w:val="000000"/>
          <w:sz w:val="21"/>
        </w:rPr>
        <w:t>1、买受人以按揭贷款方式支付房款，并由出卖人提供担保的，因买受人未按期归还按揭贷款本息，银行（含公积金管理中心，下同）要求出卖人承担保证责任的（包括要求出卖人全额或部分代偿按揭贷款本息、违约金、滞纳金、罚金等），出卖人在接到银行的该等书面通知后2年内均有权随时解除本合同。本合同解除后，双方按下列方式处理：</w:t>
      </w:r>
    </w:p>
    <w:p w14:paraId="12101AD1">
      <w:pPr>
        <w:spacing w:line="300" w:lineRule="auto"/>
        <w:ind w:firstLine="420" w:firstLineChars="200"/>
      </w:pPr>
      <w:r>
        <w:rPr>
          <w:rFonts w:ascii="宋体" w:hAnsi="宋体" w:eastAsia="宋体" w:cs="宋体"/>
          <w:color w:val="000000"/>
          <w:sz w:val="21"/>
        </w:rPr>
        <w:t>（1）出卖人收回该商品房，并有权另行出售，若商品房已交付的，买受人须在合同解除后15日内腾空房屋并返还给出卖人，买受人因返还房屋所产生的全部损失，均由买受人自行承担；</w:t>
      </w:r>
    </w:p>
    <w:p w14:paraId="1230A116">
      <w:pPr>
        <w:spacing w:line="300" w:lineRule="auto"/>
        <w:ind w:firstLine="420" w:firstLineChars="200"/>
      </w:pPr>
      <w:r>
        <w:rPr>
          <w:rFonts w:ascii="宋体" w:hAnsi="宋体" w:eastAsia="宋体" w:cs="宋体"/>
          <w:color w:val="000000"/>
          <w:sz w:val="21"/>
        </w:rPr>
        <w:t>（2）买受人应赔偿出卖人全部损失，包括但不限于出卖人已经承担担保责任而支出的款项和相应损失，以及由此所支出的诉讼费、保全费、担保费、律师费、公证费、差旅费等各项费用；</w:t>
      </w:r>
    </w:p>
    <w:p w14:paraId="5A6BFCAC">
      <w:pPr>
        <w:spacing w:line="300" w:lineRule="auto"/>
        <w:ind w:firstLine="420" w:firstLineChars="200"/>
      </w:pPr>
      <w:r>
        <w:rPr>
          <w:rFonts w:ascii="宋体" w:hAnsi="宋体" w:eastAsia="宋体" w:cs="宋体"/>
          <w:color w:val="000000"/>
          <w:sz w:val="21"/>
        </w:rPr>
        <w:t>（3）买受人还须同时按本合同总房价款的10%向出卖人支付违约金；</w:t>
      </w:r>
    </w:p>
    <w:p w14:paraId="39EA4714">
      <w:pPr>
        <w:spacing w:line="300" w:lineRule="auto"/>
        <w:ind w:firstLine="420" w:firstLineChars="200"/>
      </w:pPr>
      <w:r>
        <w:rPr>
          <w:rFonts w:ascii="宋体" w:hAnsi="宋体" w:eastAsia="宋体" w:cs="宋体"/>
          <w:color w:val="000000"/>
          <w:sz w:val="21"/>
        </w:rPr>
        <w:t>（4）对买受人已支付的房款，出卖人有权先将有关按揭贷款本息及相关罚息、费用等直接归还给银行，剩余房款与买受人应偿付给出卖人的违约金和损失赔偿金于本合同解除之日自动抵销，对于抵销后仍有需退还给买受人的差额款项，则由出卖人按约定条件和程序退还给买受人；对于抵销后买受人尚需向出卖人偿付款项的，出卖人有权继续追讨。</w:t>
      </w:r>
    </w:p>
    <w:p w14:paraId="28102FB4">
      <w:pPr>
        <w:spacing w:line="300" w:lineRule="auto"/>
        <w:ind w:firstLine="420" w:firstLineChars="200"/>
      </w:pPr>
      <w:r>
        <w:rPr>
          <w:rFonts w:ascii="宋体" w:hAnsi="宋体" w:eastAsia="宋体" w:cs="宋体"/>
          <w:color w:val="000000"/>
          <w:sz w:val="21"/>
        </w:rPr>
        <w:t>2、买受人未按时归还银行按揭贷款本息，如果出卖人在接到银行要求承担保证责任的通知后，出卖人未解除本合同及收回该商品房的，在出卖人代为偿还银行按揭贷款的本息、违约金、滞纳金、罚金等后，即视为出卖人将买受人原通过各种方式已支付的同等金额的房款（包括首付款及按揭贷款）退还给了买受人并用于归还了银行贷款，买受人因此对出卖人存在自始未付清相应金额房价款的逾期付款之事实。在此情形下，出卖人仍享有解除合同或要求买受人继续付款的选择权。如果出卖人通知解除合同的，买受人应按本合同总房价款的10%向出卖人支付违约金，届时出卖人尚可退还给买受人的房款余额与商品房买卖合同及补充协议约定的买受人应偿付给出卖人的违约金和损失赔偿金于商品房买卖合同解除之日自动抵销，抵销后仍有剩余款项的，则由出卖人按约定条件和程序退还给买受人。如果出卖人未解除合同而要求买受人继续履行付款义务的，买受人应每日按逾期支付房款金额万分之四向出卖人支付违约金。买受人未付清剩余房款及违约金的，出卖人有权不交付该商品房，并可选择按本协议相关约定解除商品房买卖合同及补充协议。</w:t>
      </w:r>
    </w:p>
    <w:p w14:paraId="40CDCC79">
      <w:pPr>
        <w:spacing w:line="300" w:lineRule="auto"/>
        <w:ind w:firstLine="420" w:firstLineChars="200"/>
      </w:pPr>
      <w:r>
        <w:rPr>
          <w:rFonts w:ascii="宋体" w:hAnsi="宋体" w:eastAsia="宋体" w:cs="宋体"/>
          <w:color w:val="000000"/>
          <w:sz w:val="21"/>
        </w:rPr>
        <w:t>该商品房或商品房买卖合同中的买受人权利被买受人或司法机关以任何形式处置或要求处置的，则受让处置商品房或买受人权利的一方或对买受人享有权利的相关人在处置前或处置后应首先代为清偿买受人对出卖人应承担的全部合同责任，或同意从该商品房变价款中优先向出卖人支付买受人相应的违约金及未付剩余房款。</w:t>
      </w:r>
    </w:p>
    <w:p w14:paraId="6ACA20BA">
      <w:pPr>
        <w:spacing w:line="300" w:lineRule="auto"/>
        <w:ind w:firstLine="420" w:firstLineChars="200"/>
      </w:pPr>
      <w:r>
        <w:rPr>
          <w:rFonts w:ascii="宋体" w:hAnsi="宋体" w:eastAsia="宋体" w:cs="宋体"/>
          <w:color w:val="000000"/>
          <w:sz w:val="21"/>
        </w:rPr>
        <w:t> </w:t>
      </w:r>
    </w:p>
    <w:p w14:paraId="71B65D92">
      <w:pPr>
        <w:spacing w:line="300" w:lineRule="auto"/>
        <w:ind w:firstLine="422" w:firstLineChars="200"/>
      </w:pPr>
      <w:r>
        <w:rPr>
          <w:rFonts w:ascii="宋体" w:hAnsi="宋体" w:eastAsia="宋体" w:cs="宋体"/>
          <w:b/>
          <w:color w:val="000000"/>
          <w:sz w:val="21"/>
        </w:rPr>
        <w:t>四、关于解除合同、退房的约定</w:t>
      </w:r>
    </w:p>
    <w:p w14:paraId="2BD2BA24">
      <w:pPr>
        <w:spacing w:line="300" w:lineRule="auto"/>
        <w:ind w:firstLine="420" w:firstLineChars="200"/>
      </w:pPr>
      <w:r>
        <w:rPr>
          <w:rFonts w:ascii="宋体" w:hAnsi="宋体" w:eastAsia="宋体" w:cs="宋体"/>
          <w:color w:val="000000"/>
          <w:sz w:val="21"/>
        </w:rPr>
        <w:t>1、本协议合同签订后，甲乙双方应自觉履行本合同的各项条款，除依据法律规定及本合同约定行使解除权外，任何一方不得擅自解除本合同；若一方提出解除本合同的，须经对方同意，且应向对方支付相当于房屋总价款10%的违约金并赔偿由此给对方造成的损失（包括但不限于对方因此所遭受的损失、支出的合理费用、诉讼费、仲裁费、律师费、公证费、鉴定费、差旅费等各项费用）。出卖人、买受人经协商一致解除合同或单方解除合同的，买受人应自解除合同之日起7日内无条件配合、协助出卖人办理相关退房手续、合同备案撤销手续及预告登记撤销手续（如有），将商品房腾退并恢复原状后返还给出卖人（如已交付），并将该商品房重新登记至出卖人名下（如已过户）。买受人不配合或不协助办理前述手续的，出卖人有权顺延向买受人退还房款直至上述手续办理完成后30个工作日，顺延期间出卖人不构成违约。出卖人在向买受人退还房款时，出卖人有权将买受人已付房款（若有银行贷款的，买受人同意由出卖人将买受人应偿还银行的全部款项直接返还银行，剩余款项仍由出卖人退还买受人）并增加或扣减违约金、损失赔偿金（若有）后退还买受人。如由于买受人不配合办理前述手续，给出卖人造成损失的，买受人应向出卖人承担赔偿责任。</w:t>
      </w:r>
    </w:p>
    <w:p w14:paraId="20199C46">
      <w:pPr>
        <w:spacing w:line="300" w:lineRule="auto"/>
        <w:ind w:firstLine="420" w:firstLineChars="200"/>
      </w:pPr>
      <w:r>
        <w:rPr>
          <w:rFonts w:ascii="宋体" w:hAnsi="宋体" w:eastAsia="宋体" w:cs="宋体"/>
          <w:color w:val="000000"/>
          <w:sz w:val="21"/>
        </w:rPr>
        <w:t>2、出卖人、买受人任何一方解除本合同，或买受人退房的，买受人基于购买本合同项下商品房而从出卖人处无偿或有偿取得的地下储藏室、地下车位、地下多功能室、地下配套用房或其他具有独立利用价值的空间或设施等，其相应签署的购置协议、附赠协议等合同一并解除，且该等空间或设施若已交付给买受人的，买受人应在解除合同或退房前返还给出卖人或其权利继受人。</w:t>
      </w:r>
    </w:p>
    <w:p w14:paraId="18525E34">
      <w:pPr>
        <w:spacing w:line="300" w:lineRule="auto"/>
        <w:ind w:firstLine="420" w:firstLineChars="200"/>
      </w:pPr>
      <w:r>
        <w:rPr>
          <w:rFonts w:ascii="宋体" w:hAnsi="宋体" w:eastAsia="宋体" w:cs="宋体"/>
          <w:color w:val="000000"/>
          <w:sz w:val="21"/>
        </w:rPr>
        <w:t>3、买受人与出卖人同意，若合同解除事由发生在本合同约定交付期限届满之前的，合同解除权应在本合同约定的交付期限届满后90日内行使，否则解除权消灭；若合同解除事由发生在本合同约定交付期限届满之后的，合同解除权应在解除事由发生后90日内行使，否则解除权消灭。但本补充协议对解除权行使期限另有约定的除外。</w:t>
      </w:r>
    </w:p>
    <w:p w14:paraId="4CF5EF33">
      <w:pPr>
        <w:spacing w:line="300" w:lineRule="auto"/>
        <w:ind w:firstLine="420" w:firstLineChars="200"/>
      </w:pPr>
      <w:r>
        <w:rPr>
          <w:rFonts w:ascii="宋体" w:hAnsi="宋体" w:eastAsia="宋体" w:cs="宋体"/>
          <w:color w:val="000000"/>
          <w:sz w:val="21"/>
        </w:rPr>
        <w:t>4、如根据本合同约定出卖人需赔偿买受人全部损失或实际损失的，该等损失系指买受人的直接损失；间接损失（如预期利益损失、房价上涨损失、再次购房利率上浮或其他购房政策及银行贷款政策变化导致的损失等）不属于本合同约定的买受人全部损失或实际损失。</w:t>
      </w:r>
    </w:p>
    <w:p w14:paraId="48F99935">
      <w:pPr>
        <w:spacing w:line="300" w:lineRule="auto"/>
        <w:ind w:firstLine="420" w:firstLineChars="200"/>
      </w:pPr>
      <w:r>
        <w:rPr>
          <w:rFonts w:ascii="宋体" w:hAnsi="宋体" w:eastAsia="宋体" w:cs="宋体"/>
          <w:color w:val="000000"/>
          <w:sz w:val="21"/>
        </w:rPr>
        <w:t> </w:t>
      </w:r>
    </w:p>
    <w:p w14:paraId="03ED79BA">
      <w:pPr>
        <w:spacing w:line="300" w:lineRule="auto"/>
        <w:ind w:firstLine="422" w:firstLineChars="200"/>
      </w:pPr>
      <w:r>
        <w:rPr>
          <w:rFonts w:ascii="宋体" w:hAnsi="宋体" w:eastAsia="宋体" w:cs="宋体"/>
          <w:b/>
          <w:color w:val="000000"/>
          <w:sz w:val="21"/>
        </w:rPr>
        <w:t>五、关于商品房交付、质量及保修责任的补充约定</w:t>
      </w:r>
    </w:p>
    <w:p w14:paraId="49C510A1">
      <w:pPr>
        <w:spacing w:line="300" w:lineRule="auto"/>
        <w:ind w:firstLine="420" w:firstLineChars="200"/>
      </w:pPr>
      <w:r>
        <w:rPr>
          <w:rFonts w:ascii="宋体" w:hAnsi="宋体" w:eastAsia="宋体" w:cs="宋体"/>
          <w:color w:val="000000"/>
          <w:sz w:val="21"/>
        </w:rPr>
        <w:t>1、本合同第九条所指的该商品房交付时应取得的房屋测绘报告，是指商品房实测绘机构根据适用测绘规范出具的测绘报告。</w:t>
      </w:r>
    </w:p>
    <w:p w14:paraId="45B4530C">
      <w:pPr>
        <w:spacing w:line="300" w:lineRule="auto"/>
        <w:ind w:firstLine="420" w:firstLineChars="200"/>
      </w:pPr>
      <w:r>
        <w:rPr>
          <w:rFonts w:ascii="宋体" w:hAnsi="宋体" w:eastAsia="宋体" w:cs="宋体"/>
          <w:color w:val="000000"/>
          <w:sz w:val="21"/>
        </w:rPr>
        <w:t>2、本合同第十条第（二）项约定的绿地率、非市政道路、规划车位、车库、物业服务用房等仅指本合同第一条第2款约定的《建设工程规划许可证》范围内的配套设施。作为本项目整体配套的物业服务用房等设施，若不在上述《建设工程规划许可证》范围内，则本合同未做约定，该等整体配套设施于整个建筑区划全部建成完全交付使用时达到验收条件。</w:t>
      </w:r>
    </w:p>
    <w:p w14:paraId="26915CDD">
      <w:pPr>
        <w:spacing w:line="300" w:lineRule="auto"/>
        <w:ind w:firstLine="420" w:firstLineChars="200"/>
      </w:pPr>
      <w:r>
        <w:rPr>
          <w:rFonts w:ascii="宋体" w:hAnsi="宋体" w:eastAsia="宋体" w:cs="宋体"/>
          <w:color w:val="000000"/>
          <w:sz w:val="21"/>
        </w:rPr>
        <w:t>3、该商品房若有多个卫生间的，其中一个卫生间以外的其他卫生间不能正常使用，该商品房不构成逾期交付，出卖人不承担逾期交付责任，但出卖人应在买受人报修后90日内修复完成，修复期内出卖人不承担除修复外的其他责任。出卖人超过90日仍未完成修复的，应结合未修复部分对买受人的正常居住使用影响赔偿买受人直接损失。</w:t>
      </w:r>
    </w:p>
    <w:p w14:paraId="626AC4A5">
      <w:pPr>
        <w:spacing w:line="300" w:lineRule="auto"/>
        <w:ind w:firstLine="420" w:firstLineChars="200"/>
      </w:pPr>
      <w:r>
        <w:rPr>
          <w:rFonts w:ascii="宋体" w:hAnsi="宋体" w:eastAsia="宋体" w:cs="宋体"/>
          <w:color w:val="000000"/>
          <w:sz w:val="21"/>
        </w:rPr>
        <w:t>4、本合同第十一条第（二）第（1）③项约定的交付顺延期间，买受人所购房屋产生的责任及损失均由买受人承担，即从该商品房所属批次的商品房整体交付期限届满之日起，该商品房的保修期限开始计算，前期物业服务费用及其他实际发生的费用由买受人承担，该商品房及室内装饰设备毁损、灭失的风险责任归买受人承担。</w:t>
      </w:r>
    </w:p>
    <w:p w14:paraId="24EC6640">
      <w:pPr>
        <w:spacing w:line="300" w:lineRule="auto"/>
        <w:ind w:firstLine="420" w:firstLineChars="200"/>
      </w:pPr>
      <w:r>
        <w:rPr>
          <w:rFonts w:ascii="宋体" w:hAnsi="宋体" w:eastAsia="宋体" w:cs="宋体"/>
          <w:color w:val="000000"/>
          <w:sz w:val="21"/>
        </w:rPr>
        <w:t>5、若买受人在合同约定的房屋交付日仍未收到出卖人交房的书面通知的，应当在本合同约定的交付日期届满之日自行前往该商品房所在地出卖人交付现场，若届时该商品房已具备交付条件的，买受人应立即对该商品房进行验收交接。买受人未能在前述约定期限至出卖人项目现场办理交付手续的，除非届时该商品房不具备交付条件的，合同约定的交付日期届满日即视为出卖人已经向买受人交付房屋，出卖人不承担逾期交付责任。</w:t>
      </w:r>
    </w:p>
    <w:p w14:paraId="4FE17FA0">
      <w:pPr>
        <w:spacing w:line="300" w:lineRule="auto"/>
        <w:ind w:firstLine="420" w:firstLineChars="200"/>
      </w:pPr>
      <w:r>
        <w:rPr>
          <w:rFonts w:ascii="宋体" w:hAnsi="宋体" w:eastAsia="宋体" w:cs="宋体"/>
          <w:color w:val="000000"/>
          <w:sz w:val="21"/>
        </w:rPr>
        <w:t>6、出卖人向买受人出示或在销售现场公示建设工程竣工验收备案证明、房屋实测测绘报告的，即视为出卖人已履行合同第九条约定的证明文件出示义务，视为商品房及其相关设施设备符合本合同第九条、第十条约定的交付条件，买受人应按本合同约定时间与出卖人办理交付手续，双方对此均不再有任何异议。买受人不得以出卖人不出示或出示证明文件不齐全为由拒绝收房。买受人拒绝收房的，出卖人不承担逾期交房违约责任。</w:t>
      </w:r>
    </w:p>
    <w:p w14:paraId="2D8143CA">
      <w:pPr>
        <w:spacing w:line="300" w:lineRule="auto"/>
        <w:ind w:firstLine="420" w:firstLineChars="200"/>
      </w:pPr>
      <w:r>
        <w:rPr>
          <w:rFonts w:ascii="宋体" w:hAnsi="宋体" w:eastAsia="宋体" w:cs="宋体"/>
          <w:color w:val="000000"/>
          <w:sz w:val="21"/>
        </w:rPr>
        <w:t>7、买受人根据本合同第十一条第（三）款第2项提出的地基基础和主体结构外的其他质量问题不构成逾期交付，出卖人应按照有关工程和产品质量规范、标准自查验次日起90日内负责修复并承担修复费用，修复期间不承担逾期交付责任或其他违约或赔偿责任，买受人仍应于出卖人通知的交付时间办理交付手续。但出卖人超过90日且超过交付日期仍未完成修复的，应结合未修复部分对买受人的正常居住使用影响赔偿买受人直接损失。</w:t>
      </w:r>
    </w:p>
    <w:p w14:paraId="13F5A4D0">
      <w:pPr>
        <w:spacing w:line="300" w:lineRule="auto"/>
        <w:ind w:firstLine="420" w:firstLineChars="200"/>
      </w:pPr>
      <w:r>
        <w:rPr>
          <w:rFonts w:ascii="宋体" w:hAnsi="宋体" w:eastAsia="宋体" w:cs="宋体"/>
          <w:color w:val="000000"/>
          <w:sz w:val="21"/>
        </w:rPr>
        <w:t>本合同第十一条第（三）款第2项约定的“修复后再行交付”仅指对买受人查验后所提出的质量问题进行修复后，对修复成果的验收，而不是对该商品房进行整体重新交付。出卖人在修复完成后应通知买受人验收，若买受人未收到出卖人的通知的，应当在上述期限届满日自行前往该商品房进行验收，买受人未能及时验收的，视为修复已完成。</w:t>
      </w:r>
    </w:p>
    <w:p w14:paraId="77659789">
      <w:pPr>
        <w:spacing w:line="300" w:lineRule="auto"/>
        <w:ind w:firstLine="420" w:firstLineChars="200"/>
      </w:pPr>
      <w:r>
        <w:rPr>
          <w:rFonts w:ascii="宋体" w:hAnsi="宋体" w:eastAsia="宋体" w:cs="宋体"/>
          <w:color w:val="000000"/>
          <w:sz w:val="21"/>
        </w:rPr>
        <w:t>8、买受人必须自行到现场办理房屋交接手续。若确有需要委托他人办理的，受托人应持有经公证的授权委托书、购房合同、房款收款凭证及受托人本人身份证原件、并按本合同约定支付完毕应付未付款项方可办理房屋交付手续，否则出卖人有权拒绝交房，出卖人不承担因此导致的逾期交付的赔偿责任。买受人为两个人或两个以上买受人（或共有人）的，买受人在此确认其互相给予授权，任意一人或几人办理交接手续即视为出卖人完成交付。</w:t>
      </w:r>
    </w:p>
    <w:p w14:paraId="1C761A27">
      <w:pPr>
        <w:spacing w:line="300" w:lineRule="auto"/>
        <w:ind w:firstLine="420" w:firstLineChars="200"/>
      </w:pPr>
      <w:r>
        <w:rPr>
          <w:rFonts w:ascii="宋体" w:hAnsi="宋体" w:eastAsia="宋体" w:cs="宋体"/>
          <w:color w:val="000000"/>
          <w:sz w:val="21"/>
        </w:rPr>
        <w:t>9、买受人</w:t>
      </w:r>
      <w:r>
        <w:rPr>
          <w:rFonts w:ascii="宋体" w:hAnsi="宋体" w:eastAsia="宋体" w:cs="宋体"/>
          <w:color w:val="000000"/>
          <w:spacing w:val="-1"/>
          <w:sz w:val="21"/>
        </w:rPr>
        <w:t>认为该商品房地基基础和主体结构不合格并</w:t>
      </w:r>
      <w:r>
        <w:rPr>
          <w:rFonts w:ascii="宋体" w:hAnsi="宋体" w:eastAsia="宋体" w:cs="宋体"/>
          <w:color w:val="000000"/>
          <w:sz w:val="21"/>
        </w:rPr>
        <w:t>根据本合同第十六条第（一）款委托进行质量检测的，检测费用由主张方垫付、责任方承担。检测合格的，该商品房于出卖人通知的交付日期起始日已视为交付给买受人，检测期间买受人所购房屋及其装饰设备的毁损、灭失的风险责任、前期物业管理费用、其他实际发生的费用等均由买受人承担。</w:t>
      </w:r>
    </w:p>
    <w:p w14:paraId="17C7EA9C">
      <w:pPr>
        <w:spacing w:line="300" w:lineRule="auto"/>
        <w:ind w:firstLine="420" w:firstLineChars="200"/>
      </w:pPr>
      <w:r>
        <w:rPr>
          <w:rFonts w:ascii="宋体" w:hAnsi="宋体" w:eastAsia="宋体" w:cs="宋体"/>
          <w:color w:val="000000"/>
          <w:sz w:val="21"/>
        </w:rPr>
        <w:t>10、本合同第十六条第（二）款第2项所称的“经过更换、修理，仍然严重影响正常使用”，是指经过180天的更换、修理，仍无法修复，且导致商品房整体无法正常使用。</w:t>
      </w:r>
    </w:p>
    <w:p w14:paraId="5FA2FA45">
      <w:pPr>
        <w:spacing w:line="300" w:lineRule="auto"/>
        <w:ind w:firstLine="420" w:firstLineChars="200"/>
      </w:pPr>
      <w:r>
        <w:rPr>
          <w:rFonts w:ascii="宋体" w:hAnsi="宋体" w:eastAsia="宋体" w:cs="宋体"/>
          <w:color w:val="000000"/>
          <w:sz w:val="21"/>
        </w:rPr>
        <w:t>11、本商品房存在本合同第十六条第（三）款约定的装饰装修及设备达不到标准情形的，如属于达不到国家的、地方的强制性标准，则由出卖人及时更换、修理，出卖人不承担其他违约责任；如属于达不到双方约定标准的，买受人同意出卖人可选择补偿装饰装修及设备差价，不再承担更换、修理责任。为提高商品房品质，装饰、设备标准所作的变动，或按法律和政策规定实施以及主要材料和设备品牌、产地、型号与双方约定存在差异等，不视为出卖人违约，出卖人无需承担违约或赔偿等责任。买受人不因装修部分（如有）与非国家强制性标准/规范存在差异而拒绝接收房屋。双方未作具体约定的，尤其是装饰装修细节工艺效果等，均不作为买受人有权拒绝接收房屋的事由。</w:t>
      </w:r>
    </w:p>
    <w:p w14:paraId="42D95E9A">
      <w:pPr>
        <w:spacing w:line="300" w:lineRule="auto"/>
        <w:ind w:firstLine="420" w:firstLineChars="200"/>
      </w:pPr>
      <w:r>
        <w:rPr>
          <w:rFonts w:ascii="宋体" w:hAnsi="宋体" w:eastAsia="宋体" w:cs="宋体"/>
          <w:color w:val="000000"/>
          <w:sz w:val="21"/>
        </w:rPr>
        <w:t>双方确认：任何有关装饰装修的非国家强制性标准/规范，均不作为判别出卖人装修部分（如有）是否合法、合格、合规的依据。</w:t>
      </w:r>
    </w:p>
    <w:p w14:paraId="27D3B3F9">
      <w:pPr>
        <w:spacing w:line="300" w:lineRule="auto"/>
        <w:ind w:firstLine="420" w:firstLineChars="200"/>
      </w:pPr>
      <w:r>
        <w:rPr>
          <w:rFonts w:ascii="宋体" w:hAnsi="宋体" w:eastAsia="宋体" w:cs="宋体"/>
          <w:color w:val="000000"/>
          <w:sz w:val="21"/>
        </w:rPr>
        <w:t>12、本合同第十六条第（四）款第1项约定的“该商品房室内空气质量或建筑隔声情况经检测不符合标准”，是指不符合国家关于空气质量或建筑隔声的强制性标准。非出卖人原因导致无法达到的，出卖人不承担责任。</w:t>
      </w:r>
    </w:p>
    <w:p w14:paraId="39DB662B">
      <w:pPr>
        <w:spacing w:line="300" w:lineRule="auto"/>
        <w:ind w:firstLine="420" w:firstLineChars="200"/>
      </w:pPr>
      <w:r>
        <w:rPr>
          <w:rFonts w:ascii="宋体" w:hAnsi="宋体" w:eastAsia="宋体" w:cs="宋体"/>
          <w:color w:val="000000"/>
          <w:sz w:val="21"/>
        </w:rPr>
        <w:t>13、买受人在规定领房时间内应及时办理领房手续，定期进行通风，并对室内外相关设施、设备进行维护，若因买受人原因未能在规定领房期限内办理领房手续，该商品房自规定领房之日后，室内外相关设施、设备的维护保养由买受人自行承担，出卖人不再对该商品房提供维护保养服务。</w:t>
      </w:r>
    </w:p>
    <w:p w14:paraId="62C014CC">
      <w:pPr>
        <w:spacing w:line="300" w:lineRule="auto"/>
        <w:ind w:firstLine="420" w:firstLineChars="200"/>
      </w:pPr>
      <w:r>
        <w:rPr>
          <w:rFonts w:ascii="宋体" w:hAnsi="宋体" w:eastAsia="宋体" w:cs="宋体"/>
          <w:color w:val="000000"/>
          <w:sz w:val="21"/>
        </w:rPr>
        <w:t>14、买受人对所购买房屋的周边环境、位置、空间、结构、朝向及外立面、阳台、空调机位等处理的形式，以及由于上述情况导致该商品房采光、通风、噪音以及其它使用功能等的影响均已充分了解并无异议。</w:t>
      </w:r>
    </w:p>
    <w:p w14:paraId="32D5B794">
      <w:pPr>
        <w:spacing w:line="300" w:lineRule="auto"/>
        <w:ind w:firstLine="420" w:firstLineChars="200"/>
      </w:pPr>
      <w:r>
        <w:rPr>
          <w:rFonts w:ascii="宋体" w:hAnsi="宋体" w:eastAsia="宋体" w:cs="宋体"/>
          <w:color w:val="000000"/>
          <w:sz w:val="21"/>
        </w:rPr>
        <w:t>15、建筑区划内所设的基础设施与公共配套建筑，包括但不限于电力设施（如箱变、开关站、街坊变电站、配电分支箱等）、弱电系统（如有线电视箱、宽带设备等）、供水设施（如水泵房等）、供气设施（如煤气调压站等）、非机动车及机动车车库出入口、安全疏散口、垃圾房、排风竖井、化粪池等设施的位置，以政府及电力、煤气、卫生等相关部门最终确定为准，建筑区划平面布局或模型所示位置若有所变动或未标明、示意的设施及位置，除合同特别约定之外，买受人对其设置、增减、移位等表示充分理解，出卖人不构成违约。</w:t>
      </w:r>
    </w:p>
    <w:p w14:paraId="673A5F07">
      <w:pPr>
        <w:spacing w:line="300" w:lineRule="auto"/>
        <w:ind w:firstLine="420" w:firstLineChars="200"/>
      </w:pPr>
      <w:r>
        <w:rPr>
          <w:rFonts w:ascii="宋体" w:hAnsi="宋体" w:eastAsia="宋体" w:cs="宋体"/>
          <w:color w:val="000000"/>
          <w:sz w:val="21"/>
        </w:rPr>
        <w:t>16、样板房的建筑形式、建筑材料、外立面、园区景观以及室内装饰装修仅供风格及装修效果的参考，不作为交付标准，具体以实际交付实样为准。样板房展示的户型与买受人购买户型相比所做的变更、改动、改造均不构成出卖人的承诺，买受人对此已知悉且无异议。</w:t>
      </w:r>
    </w:p>
    <w:p w14:paraId="094D5E93">
      <w:pPr>
        <w:spacing w:line="300" w:lineRule="auto"/>
        <w:ind w:firstLine="420" w:firstLineChars="200"/>
      </w:pPr>
      <w:r>
        <w:rPr>
          <w:rFonts w:ascii="宋体" w:hAnsi="宋体" w:eastAsia="宋体" w:cs="宋体"/>
          <w:color w:val="000000"/>
          <w:sz w:val="21"/>
        </w:rPr>
        <w:t>17、若因国家相关强制性规范、标准发生变更，导致本商品房及其局部在设计、采购、施工、安装时符合国家相关强制性规范、标准，而在交付时不符合国家相关强制性规范、标准的，出卖人不承担相应的违约责任或赔偿责任。</w:t>
      </w:r>
    </w:p>
    <w:p w14:paraId="1E6979C8">
      <w:pPr>
        <w:spacing w:line="300" w:lineRule="auto"/>
        <w:ind w:firstLine="420" w:firstLineChars="200"/>
      </w:pPr>
      <w:r>
        <w:rPr>
          <w:rFonts w:ascii="宋体" w:hAnsi="宋体" w:eastAsia="宋体" w:cs="宋体"/>
          <w:color w:val="000000"/>
          <w:sz w:val="21"/>
        </w:rPr>
        <w:t>18、非由出卖人负责实施的建筑区划外的市政大配套未建成或未投入运营，导致建筑区划基础设施及公共配套不具备使用条件的，不视为出卖人违约，并由买受人自行向有关责任单位主张权利。</w:t>
      </w:r>
    </w:p>
    <w:p w14:paraId="763985CC">
      <w:pPr>
        <w:spacing w:line="300" w:lineRule="auto"/>
        <w:ind w:firstLine="420" w:firstLineChars="200"/>
      </w:pPr>
      <w:r>
        <w:rPr>
          <w:rFonts w:ascii="宋体" w:hAnsi="宋体" w:eastAsia="宋体" w:cs="宋体"/>
          <w:color w:val="000000"/>
          <w:sz w:val="21"/>
        </w:rPr>
        <w:t>19、若出卖人通知的交付时间该商品房已达到本合同【第九条、第十条】约定交付条件的，则出卖人按照本合同【第十一条】通知买受人查验、交付房屋，通知发送时未达到本合同【第九条、第十条】约定的交付条件的，不构成出卖人违约，买受人不得以出卖人在该商品房符合交付条件前即向其寄发通知为由要求出卖人承担延期交房责任，也不得以此拒绝办理交付手续。</w:t>
      </w:r>
    </w:p>
    <w:p w14:paraId="2DBD47FE">
      <w:pPr>
        <w:spacing w:line="300" w:lineRule="auto"/>
        <w:ind w:firstLine="420" w:firstLineChars="200"/>
      </w:pPr>
      <w:r>
        <w:rPr>
          <w:rFonts w:ascii="宋体" w:hAnsi="宋体" w:eastAsia="宋体" w:cs="宋体"/>
          <w:color w:val="000000"/>
          <w:sz w:val="21"/>
        </w:rPr>
        <w:t>20、若本合同项下商品房所属项目属地行业主管部门根据规范或政策要求于建成验收阶段就室内空气质量、建筑隔声情况或声环境实施若有之抽样检测而该商品房未在抽检范围内的，则双方同意前述抽样检测合格结论及于该商品房。</w:t>
      </w:r>
    </w:p>
    <w:p w14:paraId="0B9B5418">
      <w:pPr>
        <w:spacing w:line="300" w:lineRule="auto"/>
        <w:ind w:firstLine="420" w:firstLineChars="200"/>
      </w:pPr>
      <w:r>
        <w:rPr>
          <w:rFonts w:ascii="宋体" w:hAnsi="宋体" w:eastAsia="宋体" w:cs="宋体"/>
          <w:color w:val="000000"/>
          <w:sz w:val="21"/>
        </w:rPr>
        <w:t> </w:t>
      </w:r>
    </w:p>
    <w:p w14:paraId="1BAC9B59">
      <w:pPr>
        <w:spacing w:line="300" w:lineRule="auto"/>
        <w:ind w:firstLine="422" w:firstLineChars="200"/>
      </w:pPr>
      <w:r>
        <w:rPr>
          <w:rFonts w:ascii="宋体" w:hAnsi="宋体" w:eastAsia="宋体" w:cs="宋体"/>
          <w:b/>
          <w:color w:val="000000"/>
          <w:sz w:val="21"/>
        </w:rPr>
        <w:t>六、关于面积补差的补充约定</w:t>
      </w:r>
    </w:p>
    <w:p w14:paraId="0F2B7D90">
      <w:pPr>
        <w:spacing w:line="300" w:lineRule="auto"/>
        <w:ind w:firstLine="420" w:firstLineChars="200"/>
      </w:pPr>
      <w:r>
        <w:rPr>
          <w:rFonts w:ascii="宋体" w:hAnsi="宋体" w:eastAsia="宋体" w:cs="宋体"/>
          <w:color w:val="000000"/>
          <w:sz w:val="21"/>
        </w:rPr>
        <w:t>1、该商品房的预测建筑面积系按现行房产测量规范及有关补充文件预测所得，如因政府的相关房产测量规范、文件调整、测绘单位测量口径变化导致预测建筑面积与实测建筑面积产生差异的，不视为出卖人违约，也不适用合同第十三条之面积差异处理方式，而按实测建筑面积据实结算房屋价款。</w:t>
      </w:r>
    </w:p>
    <w:p w14:paraId="5A24A21B">
      <w:pPr>
        <w:spacing w:line="300" w:lineRule="auto"/>
        <w:ind w:firstLine="420" w:firstLineChars="200"/>
      </w:pPr>
      <w:r>
        <w:rPr>
          <w:rFonts w:ascii="宋体" w:hAnsi="宋体" w:eastAsia="宋体" w:cs="宋体"/>
          <w:color w:val="000000"/>
          <w:sz w:val="21"/>
        </w:rPr>
        <w:t>2、出卖人和买受人均同意，按《商品房买卖合同》第十三条及补充协议约定的方式进行商品房建筑面积差异处理的，仅指建筑面积差异处理，不存在对商品房建筑面积构成部分套内建筑面积或公摊面积单项差异的处理，即套内建筑面积或公摊面积的增加或减少均不影响房屋价款。面积差异处理时，无论是返还房价款还是补足房价款，均不计算利息。</w:t>
      </w:r>
    </w:p>
    <w:p w14:paraId="6DFBEF94">
      <w:pPr>
        <w:spacing w:line="300" w:lineRule="auto"/>
        <w:ind w:firstLine="420" w:firstLineChars="200"/>
      </w:pPr>
      <w:r>
        <w:rPr>
          <w:rFonts w:ascii="宋体" w:hAnsi="宋体" w:eastAsia="宋体" w:cs="宋体"/>
          <w:color w:val="000000"/>
          <w:sz w:val="21"/>
        </w:rPr>
        <w:t>3、因本合同第十四条规划变更、第十五条设计变更造成面积差异，买受人不退房的，应在出卖人书面通知设计变更之日起的15日内与出卖人签订补充协议确认面积；买受人未与出卖人签订补充协议的，本合同继续履行且第三条中约定的建筑面积自动变更为规划、设计变更后的建筑面积。</w:t>
      </w:r>
    </w:p>
    <w:p w14:paraId="4E104CA1">
      <w:pPr>
        <w:spacing w:line="300" w:lineRule="auto"/>
        <w:ind w:firstLine="420" w:firstLineChars="200"/>
      </w:pPr>
      <w:r>
        <w:rPr>
          <w:rFonts w:ascii="宋体" w:hAnsi="宋体" w:eastAsia="宋体" w:cs="宋体"/>
          <w:color w:val="000000"/>
          <w:sz w:val="21"/>
        </w:rPr>
        <w:t>4、若实测建筑面积与预测建筑面积误差比绝对值超出3％，且买受人决定退房的，则买受人应当于知道或者应当知道实测建筑面积之日起15日内向出卖人书面提出退房要求并办理相关手续，否则视作不退房，并按本合同第十三条中约定的不退房条款处理。</w:t>
      </w:r>
    </w:p>
    <w:p w14:paraId="11BF4D1A">
      <w:pPr>
        <w:spacing w:line="300" w:lineRule="auto"/>
        <w:ind w:firstLine="420" w:firstLineChars="200"/>
      </w:pPr>
      <w:r>
        <w:rPr>
          <w:rFonts w:ascii="宋体" w:hAnsi="宋体" w:eastAsia="宋体" w:cs="宋体"/>
          <w:color w:val="000000"/>
          <w:sz w:val="21"/>
        </w:rPr>
        <w:t>5、实测建筑面积与预测建筑面积不一致的，物业维修专项资金按产权登记面积计交。</w:t>
      </w:r>
    </w:p>
    <w:p w14:paraId="01628352">
      <w:pPr>
        <w:spacing w:line="300" w:lineRule="auto"/>
        <w:ind w:firstLine="422" w:firstLineChars="200"/>
      </w:pPr>
      <w:r>
        <w:rPr>
          <w:rFonts w:ascii="宋体" w:hAnsi="宋体" w:eastAsia="宋体" w:cs="宋体"/>
          <w:b/>
          <w:color w:val="000000"/>
          <w:sz w:val="21"/>
        </w:rPr>
        <w:t>七、关于规划、设计变更的补充约定</w:t>
      </w:r>
    </w:p>
    <w:p w14:paraId="1D54F76C">
      <w:pPr>
        <w:spacing w:line="300" w:lineRule="auto"/>
        <w:ind w:firstLine="420" w:firstLineChars="200"/>
      </w:pPr>
      <w:r>
        <w:rPr>
          <w:rFonts w:ascii="宋体" w:hAnsi="宋体" w:eastAsia="宋体" w:cs="宋体"/>
          <w:color w:val="000000"/>
          <w:sz w:val="21"/>
        </w:rPr>
        <w:t>1、出卖人按照法定程序变更建筑工程施工图设计文件，但未改变本合同项下商品房结构形式、户型、空间尺寸、朝向的，即视为未影响到买受人所购商品房的质量或使用功能，出卖人无需通知买受人。但出卖人若认为有必要的，可按照本合同第十五条约定告知买受人，买受人未按本合同第十五条约定提出退房的，即视同接受出卖人通知的设计变更。</w:t>
      </w:r>
    </w:p>
    <w:p w14:paraId="30689ED2">
      <w:pPr>
        <w:spacing w:line="300" w:lineRule="auto"/>
        <w:ind w:firstLine="420" w:firstLineChars="200"/>
      </w:pPr>
      <w:r>
        <w:rPr>
          <w:rFonts w:ascii="宋体" w:hAnsi="宋体" w:eastAsia="宋体" w:cs="宋体"/>
          <w:color w:val="000000"/>
          <w:sz w:val="21"/>
        </w:rPr>
        <w:t>2、属于本合同第十四、十五条约定的应当书面通知买受人的规划变更、设计变更，出卖人未通知的，买受人应于知道或者应当知道该规划变更或设计变更之日起的 30日内向出卖人书面提出退房要求并办理相关手续，否则视作不退房。</w:t>
      </w:r>
    </w:p>
    <w:p w14:paraId="14EDCF7A">
      <w:pPr>
        <w:spacing w:line="300" w:lineRule="auto"/>
        <w:ind w:firstLine="420" w:firstLineChars="200"/>
      </w:pPr>
      <w:r>
        <w:rPr>
          <w:rFonts w:ascii="宋体" w:hAnsi="宋体" w:eastAsia="宋体" w:cs="宋体"/>
          <w:color w:val="000000"/>
          <w:sz w:val="21"/>
        </w:rPr>
        <w:t>3、买受人同意在主合同生效前已发生的规划变更、设计变更，出卖人无须通知或告知买受人。买受人承诺不以该等变更为理由，要求出卖人承担违约或其他责任。</w:t>
      </w:r>
    </w:p>
    <w:p w14:paraId="52486E2C">
      <w:pPr>
        <w:spacing w:line="300" w:lineRule="auto"/>
        <w:ind w:firstLine="420" w:firstLineChars="200"/>
      </w:pPr>
      <w:r>
        <w:rPr>
          <w:rFonts w:ascii="宋体" w:hAnsi="宋体" w:eastAsia="宋体" w:cs="宋体"/>
          <w:color w:val="000000"/>
          <w:sz w:val="21"/>
        </w:rPr>
        <w:t>4、买受人所购商品房的外立面、建筑用材和色彩、景观营造等均由出卖人根据整体规划设计要求具体确定。出卖人有权对建筑单体方案与景观方案进行优化和变更，并以最终交付的现状为准，出卖人不再另行通知，买受人对此无异议。</w:t>
      </w:r>
    </w:p>
    <w:p w14:paraId="592A6709">
      <w:pPr>
        <w:spacing w:line="300" w:lineRule="auto"/>
        <w:ind w:firstLine="420" w:firstLineChars="200"/>
      </w:pPr>
      <w:r>
        <w:rPr>
          <w:rFonts w:ascii="宋体" w:hAnsi="宋体" w:eastAsia="宋体" w:cs="宋体"/>
          <w:color w:val="000000"/>
          <w:sz w:val="21"/>
        </w:rPr>
        <w:t>5、若买受人已对该商品房办理验收交接（或视为交付的情况下），无论何种原因，均视为买受人已接受该商品房及小区的所有规划和设计（包括任何变更）。</w:t>
      </w:r>
    </w:p>
    <w:p w14:paraId="5530B258">
      <w:pPr>
        <w:spacing w:line="300" w:lineRule="auto"/>
        <w:ind w:firstLine="420" w:firstLineChars="200"/>
      </w:pPr>
      <w:r>
        <w:rPr>
          <w:rFonts w:ascii="宋体" w:hAnsi="宋体" w:eastAsia="宋体" w:cs="宋体"/>
          <w:color w:val="000000"/>
          <w:sz w:val="21"/>
        </w:rPr>
        <w:t>6、涉及该商品房规划用途、面积、容积率、绿地率、基础设施、公共服务及其他配套设施等规划许可内容经城乡规划主管部门批准变更的，规划部门如对变更进行了任何形式的公告（包括但不限于报纸、规划局网站），可视为出卖人在变更确立之日起通知了买受人，出卖人可以不另行再向买受人送达书面的通知。买受人应当在规划部门公告之日起15日内做出是否解除买卖合同的答复，逾期未予答复的，视同接受变更。</w:t>
      </w:r>
    </w:p>
    <w:p w14:paraId="48F2099C">
      <w:pPr>
        <w:spacing w:line="300" w:lineRule="auto"/>
        <w:ind w:firstLine="420" w:firstLineChars="200"/>
      </w:pPr>
      <w:r>
        <w:rPr>
          <w:rFonts w:ascii="宋体" w:hAnsi="宋体" w:eastAsia="宋体" w:cs="宋体"/>
          <w:color w:val="000000"/>
          <w:sz w:val="21"/>
        </w:rPr>
        <w:t>7、本项目内的基础设施与公共配套建筑，包括但不限于电力设施（如变电箱、配电房、开关站、开闭所、配电分支箱等）、弱电系统（如有线电视箱、宽带设备等）、供水设施（如水泵房等）、供气设施（如煤气调压站等）、车库安全疏散口、垃圾收集点、排风竖井等设施的位置，以政府及电力、煤气、卫生等相关单位最终确定为准。本合同附件中所示位置（若有）仅供参考，若有所变动或未标明、未示意的设施及位置，除非合同另有相关约定，否则以实际建设为准，买受人对其设置、增减、移位等无异议，出卖人不构成违约。</w:t>
      </w:r>
    </w:p>
    <w:p w14:paraId="18C3B2BD">
      <w:pPr>
        <w:spacing w:line="300" w:lineRule="auto"/>
        <w:ind w:firstLine="420" w:firstLineChars="200"/>
      </w:pPr>
      <w:r>
        <w:rPr>
          <w:rFonts w:ascii="宋体" w:hAnsi="宋体" w:eastAsia="宋体" w:cs="宋体"/>
          <w:color w:val="000000"/>
          <w:sz w:val="21"/>
        </w:rPr>
        <w:t>8、由于政府规划、消防等部门或其他政府部门要求等政府行为，或相关法律法规、规范标准的规定等原因，必须对该项目规划、设计进行变更或调整的，属于不可抗力。出卖人在变更确立后30天内书面通知买受人，但不承担违约责任。买受人应配合出卖人完善相关规划变更手续。如买受人自接到出卖人书面通知之日起10日内仍不按出卖人要求配合相关规划变更，出卖人有权单方面解除合同；如因买受人不按出卖人要求配合相关规划变更所导致的一切后果，出卖人无需承担责任。</w:t>
      </w:r>
    </w:p>
    <w:p w14:paraId="5870A424">
      <w:pPr>
        <w:spacing w:line="300" w:lineRule="auto"/>
        <w:ind w:firstLine="422" w:firstLineChars="200"/>
      </w:pPr>
      <w:r>
        <w:rPr>
          <w:rFonts w:ascii="宋体" w:hAnsi="宋体" w:eastAsia="宋体" w:cs="宋体"/>
          <w:b/>
          <w:color w:val="000000"/>
          <w:sz w:val="21"/>
        </w:rPr>
        <w:t>八、关于建筑区划内相关物的权属的约定</w:t>
      </w:r>
    </w:p>
    <w:p w14:paraId="6DC4670F">
      <w:pPr>
        <w:spacing w:line="300" w:lineRule="auto"/>
        <w:ind w:firstLine="420" w:firstLineChars="200"/>
      </w:pPr>
      <w:r>
        <w:rPr>
          <w:rFonts w:ascii="宋体" w:hAnsi="宋体" w:eastAsia="宋体" w:cs="宋体"/>
          <w:color w:val="000000"/>
          <w:sz w:val="21"/>
        </w:rPr>
        <w:t>1、建筑区划内，按照房产测量规范等法规、政策未计入买受人商品房建筑面积，且又不属于法定必须移交给业主、物业管理单位和社区机构的建筑物（构筑物）及其构造内有独立利用价值的空间或区域，包括但不限于车库、地下车位、地下空间、人防工程、库房、储藏室、工具间、杂物间、夹层、商业用房及超出政府规定范围的配套用房及空间等，其产权归属于出卖人。出卖人有权持有自用、有偿转让、出租、提供给他人使用或以其他方式进行处置。</w:t>
      </w:r>
    </w:p>
    <w:p w14:paraId="2A7C367E">
      <w:pPr>
        <w:spacing w:line="300" w:lineRule="auto"/>
        <w:ind w:firstLine="420" w:firstLineChars="200"/>
      </w:pPr>
      <w:r>
        <w:rPr>
          <w:rFonts w:ascii="宋体" w:hAnsi="宋体" w:eastAsia="宋体" w:cs="宋体"/>
          <w:color w:val="000000"/>
          <w:sz w:val="21"/>
        </w:rPr>
        <w:t>2、全体买受人同意，出卖人有权对归出卖人所有的本条第1款所述用房、空间或区域进行改造和变更用途，并有权以自用、有偿转让、出租、提供给他人使用或以其他方式进行处置。</w:t>
      </w:r>
    </w:p>
    <w:p w14:paraId="2BCAFCE3">
      <w:pPr>
        <w:spacing w:line="300" w:lineRule="auto"/>
        <w:ind w:firstLine="420" w:firstLineChars="200"/>
      </w:pPr>
      <w:r>
        <w:rPr>
          <w:rFonts w:ascii="宋体" w:hAnsi="宋体" w:eastAsia="宋体" w:cs="宋体"/>
          <w:color w:val="000000"/>
          <w:sz w:val="21"/>
        </w:rPr>
        <w:t>3、未计入公共部位、公用房屋公摊范围，且又不属于法定必须移交给业主、物业管理单位和社区机构的配套经营性设施，其产权归属于出卖人。出卖人有权自主使用、有偿转让及出租，或利用其进行经营为小区业主及周边居民提供有偿服务。</w:t>
      </w:r>
    </w:p>
    <w:p w14:paraId="036CD434">
      <w:pPr>
        <w:spacing w:line="300" w:lineRule="auto"/>
        <w:ind w:firstLine="420" w:firstLineChars="200"/>
      </w:pPr>
      <w:r>
        <w:rPr>
          <w:rFonts w:ascii="宋体" w:hAnsi="宋体" w:eastAsia="宋体" w:cs="宋体"/>
          <w:color w:val="000000"/>
          <w:sz w:val="21"/>
        </w:rPr>
        <w:t>4、本协议约定的产权归属于出卖人的房屋、空间、车位及设施等，买受人不拥有权利。出卖人对该等财产的财务处理情况不影响其对该等财产拥有产权的确定性。</w:t>
      </w:r>
    </w:p>
    <w:p w14:paraId="3622BCB4">
      <w:pPr>
        <w:spacing w:line="300" w:lineRule="auto"/>
        <w:ind w:firstLine="420" w:firstLineChars="200"/>
      </w:pPr>
      <w:r>
        <w:rPr>
          <w:rFonts w:ascii="宋体" w:hAnsi="宋体" w:eastAsia="宋体" w:cs="宋体"/>
          <w:color w:val="000000"/>
          <w:sz w:val="21"/>
        </w:rPr>
        <w:t>5、属于必须移交给业主、物业管理单位的房屋或配套设施设备（如变压器、增压泵），其产权归属于全体买受人共有，出卖人应在整个小区全部建成完全交付使用时一并移交物业管理公司，移交后该类房屋和设施设备由小区业主委员会或物业管理公司经营、使用，维修、维护费用由全体买受人承担。</w:t>
      </w:r>
    </w:p>
    <w:p w14:paraId="7EEC9BCE">
      <w:pPr>
        <w:spacing w:line="300" w:lineRule="auto"/>
        <w:ind w:firstLine="420" w:firstLineChars="200"/>
      </w:pPr>
      <w:r>
        <w:rPr>
          <w:rFonts w:ascii="宋体" w:hAnsi="宋体" w:eastAsia="宋体" w:cs="宋体"/>
          <w:color w:val="000000"/>
          <w:sz w:val="21"/>
        </w:rPr>
        <w:t>6、出卖人、买受人对产权属其享有的房屋或可以独立利用价值的特定空间、设施、绿地，其权属登记依国家规定依法办理。未进行权属登记的，其权利享有和行使按买卖双方约定执行。</w:t>
      </w:r>
    </w:p>
    <w:p w14:paraId="49DCA857">
      <w:pPr>
        <w:spacing w:line="300" w:lineRule="auto"/>
        <w:ind w:firstLine="420" w:firstLineChars="200"/>
      </w:pPr>
      <w:r>
        <w:rPr>
          <w:rFonts w:ascii="宋体" w:hAnsi="宋体" w:eastAsia="宋体" w:cs="宋体"/>
          <w:color w:val="000000"/>
          <w:sz w:val="21"/>
        </w:rPr>
        <w:t>7、出卖人可以将产权属其拥有的地下车位、储藏室、工具间、杂物间、库房及其它设施，按约定在交付商品房时一并移交归买受人占有、使用，买受人对出卖人按约定交付的车位，其权属登记按政府相关规定实施。</w:t>
      </w:r>
    </w:p>
    <w:p w14:paraId="018C6B5D">
      <w:pPr>
        <w:spacing w:line="300" w:lineRule="auto"/>
        <w:ind w:firstLine="420" w:firstLineChars="200"/>
      </w:pPr>
      <w:r>
        <w:rPr>
          <w:rFonts w:ascii="宋体" w:hAnsi="宋体" w:eastAsia="宋体" w:cs="宋体"/>
          <w:color w:val="000000"/>
          <w:sz w:val="21"/>
        </w:rPr>
        <w:t>8、买受人同意，出卖人可根据项目开发建设的具体情况及需要，对建筑区划内的物业服务用房的面积、功能、用途、坐落位置等作一定的调整，本建筑区划内物业服务用房的面积、功能、用途、坐落位置等以政府最终批准、同意、确认或移交备案的实际情况为准。若因上述调整需要征询买受人相关意见或举行听证程序的，买受人表示同意，并授权出卖人代为行使相关权利。</w:t>
      </w:r>
    </w:p>
    <w:p w14:paraId="0252F596">
      <w:pPr>
        <w:spacing w:line="300" w:lineRule="auto"/>
        <w:ind w:firstLine="420" w:firstLineChars="200"/>
      </w:pPr>
      <w:r>
        <w:rPr>
          <w:rFonts w:ascii="宋体" w:hAnsi="宋体" w:eastAsia="宋体" w:cs="宋体"/>
          <w:color w:val="000000"/>
          <w:sz w:val="21"/>
        </w:rPr>
        <w:t>9、建筑区划内的地下车位，包括无障碍车位、预留充电设施接口汽车位、访客车位、公共车位以及超过规划要求配置的机动车位等，其权属均归出卖人所有，出卖人有权采取自用、出售、附赠、出租、委托经营等方式予以使用或处置。</w:t>
      </w:r>
    </w:p>
    <w:p w14:paraId="54FD1438">
      <w:pPr>
        <w:spacing w:line="300" w:lineRule="auto"/>
        <w:ind w:firstLine="420" w:firstLineChars="200"/>
      </w:pPr>
      <w:r>
        <w:rPr>
          <w:rFonts w:ascii="宋体" w:hAnsi="宋体" w:eastAsia="宋体" w:cs="宋体"/>
          <w:color w:val="000000"/>
          <w:sz w:val="21"/>
        </w:rPr>
        <w:t> </w:t>
      </w:r>
    </w:p>
    <w:p w14:paraId="40D85CE2">
      <w:pPr>
        <w:spacing w:line="300" w:lineRule="auto"/>
        <w:ind w:firstLine="422" w:firstLineChars="200"/>
      </w:pPr>
      <w:r>
        <w:rPr>
          <w:rFonts w:ascii="宋体" w:hAnsi="宋体" w:eastAsia="宋体" w:cs="宋体"/>
          <w:b/>
          <w:color w:val="000000"/>
          <w:sz w:val="21"/>
        </w:rPr>
        <w:t>九、关于房屋及其他建筑物、构筑物等使用、管理的约定</w:t>
      </w:r>
    </w:p>
    <w:p w14:paraId="56BFD5CC">
      <w:pPr>
        <w:spacing w:line="300" w:lineRule="auto"/>
        <w:ind w:firstLine="420" w:firstLineChars="200"/>
      </w:pPr>
      <w:r>
        <w:rPr>
          <w:rFonts w:ascii="宋体" w:hAnsi="宋体" w:eastAsia="宋体" w:cs="宋体"/>
          <w:color w:val="000000"/>
          <w:sz w:val="21"/>
        </w:rPr>
        <w:t>1、出卖人因城市建设、规划小区建设及物业管理等涉及公共利益之需要，而必须在该商品房及楼宇周围的地面、地下及地上埋（架）设电力、电讯、给排水管线及配电箱、窨井（盖）及其它有关装置时，买受人应予同意和理解，并在今后维护修理时予以配合。</w:t>
      </w:r>
    </w:p>
    <w:p w14:paraId="2C4DBFB6">
      <w:pPr>
        <w:spacing w:line="300" w:lineRule="auto"/>
        <w:ind w:firstLine="420" w:firstLineChars="200"/>
      </w:pPr>
      <w:r>
        <w:rPr>
          <w:rFonts w:ascii="宋体" w:hAnsi="宋体" w:eastAsia="宋体" w:cs="宋体"/>
          <w:color w:val="000000"/>
          <w:sz w:val="21"/>
        </w:rPr>
        <w:t>2、若出卖人将产权归其所有的会所内部分区域（如会所大堂等）作为全体业主公共活动场所无偿提供并移交给物业管理公司服务管理的，出卖人就该部分区域免缴物业服务费，其能源消耗费用在业主共有收入中列支，共有收入不足的，可在物业服务费中列支。</w:t>
      </w:r>
    </w:p>
    <w:p w14:paraId="469FC875">
      <w:pPr>
        <w:spacing w:line="300" w:lineRule="auto"/>
        <w:ind w:firstLine="420" w:firstLineChars="200"/>
      </w:pPr>
      <w:r>
        <w:rPr>
          <w:rFonts w:ascii="宋体" w:hAnsi="宋体" w:eastAsia="宋体" w:cs="宋体"/>
          <w:color w:val="000000"/>
          <w:sz w:val="21"/>
        </w:rPr>
        <w:t>3、为符合商业惯例、充分发挥物业价值，各买受人同意，与本合同商品房一并交付的物业管理用房及经营用房由物业管理单位进行招商或出租，其所签署的委托管理或租赁经营该等用房的合同、协议，对全体业主及今后成立的业主委员会具有约束力，所得收益归业主共有，物业管理单位有权收取一定合理的管理费用。</w:t>
      </w:r>
    </w:p>
    <w:p w14:paraId="06D98F56">
      <w:pPr>
        <w:spacing w:line="300" w:lineRule="auto"/>
        <w:ind w:firstLine="420" w:firstLineChars="200"/>
      </w:pPr>
      <w:r>
        <w:rPr>
          <w:rFonts w:ascii="宋体" w:hAnsi="宋体" w:eastAsia="宋体" w:cs="宋体"/>
          <w:strike/>
          <w:color w:val="000000"/>
          <w:sz w:val="21"/>
        </w:rPr>
        <w:t>4</w:t>
      </w:r>
      <w:r>
        <w:rPr>
          <w:rFonts w:ascii="宋体" w:hAnsi="宋体" w:eastAsia="宋体" w:cs="宋体"/>
          <w:color w:val="000000"/>
          <w:sz w:val="21"/>
        </w:rPr>
        <w:t>、对出卖人已在该商品房阳台、露台等部位统一配置安装的空调等设施设备，买受人同意其安装方案和安装位置，并承诺对安装位置不作随意改变。</w:t>
      </w:r>
    </w:p>
    <w:p w14:paraId="18A630A1">
      <w:pPr>
        <w:spacing w:line="300" w:lineRule="auto"/>
        <w:ind w:firstLine="420" w:firstLineChars="200"/>
      </w:pPr>
      <w:r>
        <w:rPr>
          <w:rFonts w:ascii="宋体" w:hAnsi="宋体" w:eastAsia="宋体" w:cs="宋体"/>
          <w:color w:val="000000"/>
          <w:sz w:val="21"/>
        </w:rPr>
        <w:t>5、为了保护建筑物的整体美感和外立面景观效果，买受人不得随意更改其所购房屋的外观、更改或增设相关设备设施（空调机位等）。买受人不得擅自封闭入户花园、露台或阳台，不得更改或增设室外空调机位、太阳能、卫星转发器等设施设备。因买受人私自改动或移动商品房结构、设施设备所产生的所有责任，由买受人自行承担，出卖人不承担保修及赔偿责任。</w:t>
      </w:r>
    </w:p>
    <w:p w14:paraId="7289EF87">
      <w:pPr>
        <w:spacing w:line="300" w:lineRule="auto"/>
        <w:ind w:firstLine="420" w:firstLineChars="200"/>
      </w:pPr>
      <w:r>
        <w:rPr>
          <w:rFonts w:ascii="宋体" w:hAnsi="宋体" w:eastAsia="宋体" w:cs="宋体"/>
          <w:color w:val="000000"/>
          <w:sz w:val="21"/>
        </w:rPr>
        <w:t>6、买受人使用阳台（露台）时应符合本合同及补充协议的约定、小区管理规约（包括临时管理规约）及物业管理公司的相关规定（其中包括不擅自搭建，不能在栏杆及超出阳台、露台栏杆高度晾晒棉被等），维护小区形象和业主公共利益。</w:t>
      </w:r>
    </w:p>
    <w:p w14:paraId="49ADA662">
      <w:pPr>
        <w:spacing w:line="300" w:lineRule="auto"/>
        <w:ind w:firstLine="420" w:firstLineChars="200"/>
      </w:pPr>
      <w:r>
        <w:rPr>
          <w:rFonts w:ascii="宋体" w:hAnsi="宋体" w:eastAsia="宋体" w:cs="宋体"/>
          <w:color w:val="000000"/>
          <w:sz w:val="21"/>
        </w:rPr>
        <w:t>7、各买受人均同意，在出卖人承担保修责任、物管公司对公共部位进行保养维修或受业主委托进行房屋维修时，若该保修或维修需要通过、进入或占用相邻业主房屋专用部分的，相邻业主应当提供必要的便利和配合。若因相邻业主原因导致出卖人及物管公司无法进行保修及维修的，因此而造成的扩大损失，由相邻业主承担责任，出卖人及物管公司不承担责任。</w:t>
      </w:r>
    </w:p>
    <w:p w14:paraId="3764C70A">
      <w:pPr>
        <w:spacing w:line="300" w:lineRule="auto"/>
        <w:ind w:firstLine="420" w:firstLineChars="200"/>
      </w:pPr>
      <w:r>
        <w:rPr>
          <w:rFonts w:ascii="宋体" w:hAnsi="宋体" w:eastAsia="宋体" w:cs="宋体"/>
          <w:color w:val="000000"/>
          <w:sz w:val="21"/>
        </w:rPr>
        <w:t> </w:t>
      </w:r>
    </w:p>
    <w:p w14:paraId="434677A2">
      <w:pPr>
        <w:spacing w:line="300" w:lineRule="auto"/>
        <w:ind w:firstLine="422" w:firstLineChars="200"/>
      </w:pPr>
      <w:r>
        <w:rPr>
          <w:rFonts w:ascii="宋体" w:hAnsi="宋体" w:eastAsia="宋体" w:cs="宋体"/>
          <w:b/>
          <w:color w:val="000000"/>
          <w:sz w:val="21"/>
        </w:rPr>
        <w:t xml:space="preserve">十、关于专有（独占）使用权的约定 </w:t>
      </w:r>
    </w:p>
    <w:p w14:paraId="0E4DF0DD">
      <w:pPr>
        <w:spacing w:line="300" w:lineRule="auto"/>
        <w:ind w:firstLine="420" w:firstLineChars="200"/>
      </w:pPr>
      <w:r>
        <w:rPr>
          <w:rFonts w:ascii="宋体" w:hAnsi="宋体" w:eastAsia="宋体" w:cs="宋体"/>
          <w:color w:val="000000"/>
          <w:sz w:val="21"/>
        </w:rPr>
        <w:t>1、本项目部分房屋有一楼庭院，本着物尽其用的原则，买受人所购商品房所在单元的一楼庭院根据其坐落区域归对应业主专有使用，本项目其他业主放弃对该部位的全部权利。关于该部位的具体面积、形状、归属、隔离方式等以出卖人交付时的现状为准，出卖人在签订本合同时已向买受人进行了详细的解释和说明，买受人无条件予以认可。</w:t>
      </w:r>
    </w:p>
    <w:p w14:paraId="741EDD3A">
      <w:pPr>
        <w:spacing w:line="300" w:lineRule="auto"/>
        <w:ind w:firstLine="420" w:firstLineChars="200"/>
      </w:pPr>
      <w:r>
        <w:rPr>
          <w:rFonts w:ascii="宋体" w:hAnsi="宋体" w:eastAsia="宋体" w:cs="宋体"/>
          <w:color w:val="000000"/>
          <w:sz w:val="21"/>
        </w:rPr>
        <w:t>针对前述部位享有专用使用权的业主，该部位无法办理权属登记，相应维保责任由该业主承担，庭院内可能会出现检修井等不利因素，具体以实际交付为准。</w:t>
      </w:r>
    </w:p>
    <w:p w14:paraId="7A79DB90">
      <w:pPr>
        <w:spacing w:line="300" w:lineRule="auto"/>
        <w:ind w:firstLine="420" w:firstLineChars="200"/>
      </w:pPr>
      <w:r>
        <w:rPr>
          <w:rFonts w:ascii="宋体" w:hAnsi="宋体" w:eastAsia="宋体" w:cs="宋体"/>
          <w:color w:val="000000"/>
          <w:sz w:val="21"/>
        </w:rPr>
        <w:t>出卖人考虑到本项目其他业主放弃前述权利的因素，在确定本商品房销售价格以及本项目其他业主所购房屋销售价格时已经给予了一定的折让，本合同中所载商品房价款为折让后的价格。</w:t>
      </w:r>
    </w:p>
    <w:p w14:paraId="14DC687C">
      <w:pPr>
        <w:spacing w:line="300" w:lineRule="auto"/>
        <w:ind w:firstLine="420" w:firstLineChars="200"/>
      </w:pPr>
      <w:r>
        <w:rPr>
          <w:rFonts w:ascii="宋体" w:hAnsi="宋体" w:eastAsia="宋体" w:cs="宋体"/>
          <w:color w:val="000000"/>
          <w:sz w:val="21"/>
        </w:rPr>
        <w:t xml:space="preserve">2、享有专用权的买受人使用前述底层庭院应当符合设计荷载要求，并遵守管理规约（含临时管理规约）及物业管理单位的规定，不得损害相邻关系，不得侵害共有权人或相邻人的其他合法权利，不得破坏房屋结构和外观，不破坏房屋结构和外观，不搭建、不更改绿地性质。否则由此产生的责任与后果全部由该买受人承担。如因政府部门对前述底层绿地等使用有相关要求的，买受人同意按照政府部门规定执行，买受人不得就此向出卖人提出任何主张，出卖人对绿地使用权不作任何承诺。 </w:t>
      </w:r>
    </w:p>
    <w:p w14:paraId="6495CDB1">
      <w:pPr>
        <w:spacing w:line="300" w:lineRule="auto"/>
        <w:ind w:firstLine="420" w:firstLineChars="200"/>
      </w:pPr>
      <w:r>
        <w:rPr>
          <w:rFonts w:ascii="宋体" w:hAnsi="宋体" w:eastAsia="宋体" w:cs="宋体"/>
          <w:color w:val="000000"/>
          <w:sz w:val="21"/>
        </w:rPr>
        <w:t xml:space="preserve">3、享有专用权的买受人不得擅自拆除、改变前述底层庭院的附属建筑小品，且自房屋交付之日起，承担维护、管理、修缮等义务及费用。但属于《住宅质量保证书》规定的保修责任范围内的，由出卖人承担保修责任，享有专用权的买受人必须予以配合。 </w:t>
      </w:r>
    </w:p>
    <w:p w14:paraId="446AEC3D">
      <w:pPr>
        <w:spacing w:line="300" w:lineRule="auto"/>
        <w:ind w:firstLine="420" w:firstLineChars="200"/>
      </w:pPr>
      <w:r>
        <w:rPr>
          <w:rFonts w:ascii="宋体" w:hAnsi="宋体" w:eastAsia="宋体" w:cs="宋体"/>
          <w:color w:val="000000"/>
          <w:sz w:val="21"/>
        </w:rPr>
        <w:t xml:space="preserve">4、本协议项下底层庭院是指供底层相关商品房业主使用的室外绿地或花园。 </w:t>
      </w:r>
    </w:p>
    <w:p w14:paraId="6C858400">
      <w:pPr>
        <w:spacing w:line="300" w:lineRule="auto"/>
        <w:ind w:firstLine="420" w:firstLineChars="200"/>
      </w:pPr>
      <w:r>
        <w:rPr>
          <w:rFonts w:ascii="宋体" w:hAnsi="宋体" w:eastAsia="宋体" w:cs="宋体"/>
          <w:color w:val="000000"/>
          <w:sz w:val="21"/>
        </w:rPr>
        <w:t xml:space="preserve">5、各买受人一致确认，本合同及补充协议中有关专用权或独占使用权的约定，系各买受人相互之间在确认并不改变相关部分共有权的基础上而作的一种有关权利享有和行使的特别约定，在本合同及补充协议签订后仍对各买受人均有持续约束力且不得变更和撤销，亦不会因业主大会决议或业主大会修改或重新制定管理规约而失效。 </w:t>
      </w:r>
    </w:p>
    <w:p w14:paraId="04C3955C">
      <w:pPr>
        <w:spacing w:line="300" w:lineRule="auto"/>
        <w:ind w:firstLine="420" w:firstLineChars="200"/>
      </w:pPr>
      <w:r>
        <w:rPr>
          <w:rFonts w:ascii="宋体" w:hAnsi="宋体" w:eastAsia="宋体" w:cs="宋体"/>
          <w:color w:val="000000"/>
          <w:sz w:val="21"/>
        </w:rPr>
        <w:t>6、对上述底层庭院享有专用权的买受人，不享有上述区域的所有权，且上述区域均不办理产权登记，对此买受人无异议。</w:t>
      </w:r>
    </w:p>
    <w:p w14:paraId="37B28CAA">
      <w:pPr>
        <w:spacing w:line="300" w:lineRule="auto"/>
        <w:ind w:firstLine="420" w:firstLineChars="200"/>
      </w:pPr>
      <w:r>
        <w:rPr>
          <w:rFonts w:ascii="宋体" w:hAnsi="宋体" w:eastAsia="宋体" w:cs="宋体"/>
          <w:color w:val="000000"/>
          <w:sz w:val="21"/>
        </w:rPr>
        <w:t> </w:t>
      </w:r>
    </w:p>
    <w:p w14:paraId="6370C807">
      <w:pPr>
        <w:spacing w:line="300" w:lineRule="auto"/>
        <w:ind w:firstLine="422" w:firstLineChars="200"/>
      </w:pPr>
      <w:r>
        <w:rPr>
          <w:rFonts w:ascii="宋体" w:hAnsi="宋体" w:eastAsia="宋体" w:cs="宋体"/>
          <w:b/>
          <w:color w:val="000000"/>
          <w:sz w:val="21"/>
        </w:rPr>
        <w:t>十一、关于房屋预告登记及权属登记的约定</w:t>
      </w:r>
    </w:p>
    <w:p w14:paraId="157C351D">
      <w:pPr>
        <w:spacing w:line="300" w:lineRule="auto"/>
        <w:ind w:firstLine="420" w:firstLineChars="200"/>
      </w:pPr>
      <w:r>
        <w:rPr>
          <w:rFonts w:ascii="宋体" w:hAnsi="宋体" w:eastAsia="宋体" w:cs="宋体"/>
          <w:color w:val="000000"/>
          <w:sz w:val="21"/>
        </w:rPr>
        <w:t>1、出卖人有权在商品房交付之日起</w:t>
      </w:r>
      <w:r>
        <w:rPr>
          <w:rFonts w:ascii="宋体" w:hAnsi="宋体" w:eastAsia="宋体" w:cs="宋体"/>
          <w:color w:val="000000"/>
          <w:sz w:val="21"/>
          <w:u w:val="single"/>
        </w:rPr>
        <w:t>180</w:t>
      </w:r>
      <w:r>
        <w:rPr>
          <w:rFonts w:ascii="宋体" w:hAnsi="宋体" w:eastAsia="宋体" w:cs="宋体"/>
          <w:color w:val="000000"/>
          <w:sz w:val="21"/>
        </w:rPr>
        <w:t>日内书面通知买受人办理房屋登记，若买受人在上述期限内未收到出卖人的书面通知的，应当在上述期限届满日前自行前往该商品房所在地出卖人现场，若届时该商品房已具备房屋所有权转移登记条件的，买受人与出卖人应立即共同申请办理该商品房的房屋所有权转移登记。买受人未能在前述约定期限至出卖人项目现场与出卖人共同申请办理转移登记的，除非届时该商品房不具备转移登记条件的，则该商品房迟延办理产权转移登记的责任由买受人自行承担。</w:t>
      </w:r>
    </w:p>
    <w:p w14:paraId="541F0D57">
      <w:pPr>
        <w:spacing w:line="300" w:lineRule="auto"/>
        <w:ind w:firstLine="420" w:firstLineChars="200"/>
      </w:pPr>
      <w:r>
        <w:rPr>
          <w:rFonts w:ascii="宋体" w:hAnsi="宋体" w:eastAsia="宋体" w:cs="宋体"/>
          <w:color w:val="000000"/>
          <w:sz w:val="21"/>
        </w:rPr>
        <w:t>2、买受人应在收到出卖人产权办理通知书之日起【30】日内共同</w:t>
      </w:r>
      <w:r>
        <w:rPr>
          <w:rFonts w:ascii="宋体" w:hAnsi="宋体" w:eastAsia="宋体" w:cs="宋体"/>
          <w:color w:val="000000"/>
          <w:spacing w:val="-1"/>
          <w:sz w:val="21"/>
        </w:rPr>
        <w:t>向房产管理部门和不动产登记部门申请办理该商品房交易手续</w:t>
      </w:r>
      <w:r>
        <w:rPr>
          <w:rFonts w:ascii="宋体" w:hAnsi="宋体" w:eastAsia="宋体" w:cs="宋体"/>
          <w:color w:val="000000"/>
          <w:sz w:val="21"/>
        </w:rPr>
        <w:t>和不动产登记。如因买受人的原因未在上述期限办理导致买受人未能按第二十条约定的期限</w:t>
      </w:r>
      <w:r>
        <w:rPr>
          <w:rFonts w:ascii="宋体" w:hAnsi="宋体" w:eastAsia="宋体" w:cs="宋体"/>
          <w:color w:val="000000"/>
          <w:spacing w:val="-1"/>
          <w:sz w:val="21"/>
        </w:rPr>
        <w:t>完成房屋交易手续和取得不动产权证</w:t>
      </w:r>
      <w:r>
        <w:rPr>
          <w:rFonts w:ascii="宋体" w:hAnsi="宋体" w:eastAsia="宋体" w:cs="宋体"/>
          <w:color w:val="000000"/>
          <w:sz w:val="21"/>
        </w:rPr>
        <w:t>的，出卖人不承担责任。</w:t>
      </w:r>
    </w:p>
    <w:p w14:paraId="083F83FC">
      <w:pPr>
        <w:spacing w:line="300" w:lineRule="auto"/>
        <w:ind w:firstLine="420" w:firstLineChars="200"/>
      </w:pPr>
      <w:r>
        <w:rPr>
          <w:rFonts w:ascii="宋体" w:hAnsi="宋体" w:eastAsia="宋体" w:cs="宋体"/>
          <w:color w:val="000000"/>
          <w:sz w:val="21"/>
        </w:rPr>
        <w:t>3、买受人应自行办理房屋权属转移登记手续和抵押登记手续（如涉及），出卖人提供了办理该等手续所需的需由出卖人提供的相关资料（包括首次登记权属证书或登记证明）即视为完成本合同第二十条约定的相关义务。如买受人委托办证中介机构办理的，相关费用由买受人承担，出卖人提供了办理该等手续所需的需由出卖人提供的相关资料（包括首次登记权属证书或登记证明）即视为完成本合同第二十条约定的相关义务。</w:t>
      </w:r>
    </w:p>
    <w:p w14:paraId="326398E5">
      <w:pPr>
        <w:spacing w:line="300" w:lineRule="auto"/>
        <w:ind w:firstLine="420" w:firstLineChars="200"/>
      </w:pPr>
      <w:r>
        <w:rPr>
          <w:rFonts w:ascii="宋体" w:hAnsi="宋体" w:eastAsia="宋体" w:cs="宋体"/>
          <w:color w:val="000000"/>
          <w:sz w:val="21"/>
        </w:rPr>
        <w:t>4、如因买受人的原因未能在本合同第二十条约定期限内完成房屋权属转移登记及相应的不动产抵押登记，导致出卖人为买受人贷款而设立的任何形式的担保未能在前述约定的办理不动产抵押登记期限届满时解除的，每逾期一日，买受人应按总房价款万分之二向出卖人支付违约金；逾期超过60日的，自第61日起，买受人应向出卖人支付总房价款每日万分之四的违约金。若因买受人原因逾期领房及逾期办妥产权转移登记及相应的不动产抵押登记，导致出卖人向按揭银行承担担保责任的，双方同意按本协议中相关条款的约定追究过错方责任并进行处理。</w:t>
      </w:r>
    </w:p>
    <w:p w14:paraId="6C7A43F7">
      <w:pPr>
        <w:spacing w:line="300" w:lineRule="auto"/>
        <w:ind w:firstLine="420" w:firstLineChars="200"/>
      </w:pPr>
      <w:r>
        <w:rPr>
          <w:rFonts w:ascii="宋体" w:hAnsi="宋体" w:eastAsia="宋体" w:cs="宋体"/>
          <w:color w:val="000000"/>
          <w:sz w:val="21"/>
        </w:rPr>
        <w:t>5、如买受人未付清法律、法规等规定应缴纳的相关税费、物业专项维修资金，或者未提供规定所需的资料（包括但不限于签署授权委托书，签署办理权属登记申请表等）、未付清全部应付款（含面积差价款等）、办证手续费、以及应当由买受人交纳的其他费用、未及时按约前来办理交房手续、未偿还由出卖人代偿的按揭款及其利息、违约金等，出卖人有权拒绝按本合同约定时间为买受人办理权属登记相关手续，且无须承担任何责任，未付相关费用构成违约的，买受人还应承担相应的违约责任。出卖人办理房屋权属转移登记的时间从买受人完成交付后并提交全部资料、税费、款项之日开始起算。</w:t>
      </w:r>
    </w:p>
    <w:p w14:paraId="2395221C">
      <w:pPr>
        <w:spacing w:line="300" w:lineRule="auto"/>
        <w:ind w:firstLine="420" w:firstLineChars="200"/>
      </w:pPr>
      <w:r>
        <w:rPr>
          <w:rFonts w:ascii="宋体" w:hAnsi="宋体" w:eastAsia="宋体" w:cs="宋体"/>
          <w:color w:val="000000"/>
          <w:sz w:val="21"/>
        </w:rPr>
        <w:t>6、出卖人在提供办理权属登记的相关资料后，如因买受人或其委托的办证中介机构、按揭银行、政府职能部门等不可归责于出卖人的原因导致其不能在约定期限内完成该商品房的房屋交易手续和取得不动产权证的，出卖人不承担违约责任及其他法律责任，一切后果由买受人承担。该商品房交付后须缴纳的相关税费由买受人自行承担，如遇政府部门相关政策调整的，则按新政策缴纳相关的税费。</w:t>
      </w:r>
    </w:p>
    <w:p w14:paraId="28BDC9AF">
      <w:pPr>
        <w:spacing w:line="300" w:lineRule="auto"/>
        <w:ind w:firstLine="420" w:firstLineChars="200"/>
      </w:pPr>
      <w:r>
        <w:rPr>
          <w:rFonts w:ascii="宋体" w:hAnsi="宋体" w:eastAsia="宋体" w:cs="宋体"/>
          <w:color w:val="000000"/>
          <w:sz w:val="21"/>
        </w:rPr>
        <w:t>7、若出卖人迟延交房、买受人迟延领房，本合同第二十条约定的期限以商品房实际交付之日或实际领房之日起算。</w:t>
      </w:r>
    </w:p>
    <w:p w14:paraId="26870D0C">
      <w:pPr>
        <w:spacing w:line="300" w:lineRule="auto"/>
        <w:ind w:firstLine="420" w:firstLineChars="200"/>
      </w:pPr>
      <w:r>
        <w:rPr>
          <w:rFonts w:ascii="宋体" w:hAnsi="宋体" w:eastAsia="宋体" w:cs="宋体"/>
          <w:color w:val="000000"/>
          <w:sz w:val="21"/>
        </w:rPr>
        <w:t>8、如出卖人在商品房具备合同约定的交付条件的情况下进行提前交付的，则本合同第二十条约定的办理不动产权证的期限仍应从本合同第十一条第（一）款约定的交付期限届满日开始起算，不因实际交付时间的提前而相应提前。</w:t>
      </w:r>
    </w:p>
    <w:p w14:paraId="2ECDE761">
      <w:pPr>
        <w:spacing w:line="300" w:lineRule="auto"/>
        <w:ind w:firstLine="420" w:firstLineChars="200"/>
      </w:pPr>
      <w:r>
        <w:rPr>
          <w:rFonts w:ascii="宋体" w:hAnsi="宋体" w:eastAsia="宋体" w:cs="宋体"/>
          <w:color w:val="000000"/>
          <w:sz w:val="21"/>
        </w:rPr>
        <w:t>9、买受人以贷款方式付款的，若出卖人为买受人的贷款提供的连带责任保证担保责任尚未解除的，买受人应在房屋交付前，按不动产登记机关规定的标准向出卖人、按揭银行或其委托的办证中介机构（如有）提供办理产权转移登记、不动产抵押登记的全部资料（包括委托办理权属转移登记和抵押登记的授权委托书等）并支付相关的税费，否则出卖人有权拒绝向买受人实际交付房屋，买受人应承担的义务、责任与风险与延期收房的义务、责任与风险相同，由此给出卖人产生风险责任的，适用本协议中的相关约定。</w:t>
      </w:r>
    </w:p>
    <w:p w14:paraId="2AA5C32C">
      <w:pPr>
        <w:spacing w:line="300" w:lineRule="auto"/>
        <w:ind w:firstLine="422" w:firstLineChars="200"/>
      </w:pPr>
      <w:r>
        <w:rPr>
          <w:rFonts w:ascii="宋体" w:hAnsi="宋体" w:eastAsia="宋体" w:cs="宋体"/>
          <w:b/>
          <w:color w:val="000000"/>
          <w:sz w:val="21"/>
        </w:rPr>
        <w:t>十二、关于增值税的相关约定</w:t>
      </w:r>
    </w:p>
    <w:p w14:paraId="4301472A">
      <w:pPr>
        <w:spacing w:line="300" w:lineRule="auto"/>
        <w:ind w:firstLine="420" w:firstLineChars="200"/>
      </w:pPr>
      <w:r>
        <w:rPr>
          <w:rFonts w:ascii="宋体" w:hAnsi="宋体" w:eastAsia="宋体" w:cs="宋体"/>
          <w:color w:val="000000"/>
          <w:sz w:val="21"/>
        </w:rPr>
        <w:t>1、该商品房项目采用一般计税方法，增值税税率以开票日相关政府部门施行的政策为准。</w:t>
      </w:r>
    </w:p>
    <w:p w14:paraId="0D0B5154">
      <w:pPr>
        <w:spacing w:line="300" w:lineRule="auto"/>
        <w:ind w:firstLine="420" w:firstLineChars="200"/>
      </w:pPr>
      <w:r>
        <w:rPr>
          <w:rFonts w:ascii="宋体" w:hAnsi="宋体" w:eastAsia="宋体" w:cs="宋体"/>
          <w:color w:val="000000"/>
          <w:sz w:val="21"/>
        </w:rPr>
        <w:t>2、若买受人为个人或增值税小规模纳税人的，出卖人开具增值税普通发票；若买受人为增值税一般纳税人的且要求出卖人开具增值税专用发票的，出卖人开具增值税专用发票，买受人应提供增值税专用发票的开票信息，并应确保开票信息真实、准确，否则由此产生的责任由买受人自行承担。</w:t>
      </w:r>
    </w:p>
    <w:p w14:paraId="0B2B6E8E">
      <w:pPr>
        <w:spacing w:line="300" w:lineRule="auto"/>
        <w:ind w:firstLine="420" w:firstLineChars="200"/>
      </w:pPr>
      <w:r>
        <w:rPr>
          <w:rFonts w:ascii="宋体" w:hAnsi="宋体" w:eastAsia="宋体" w:cs="宋体"/>
          <w:color w:val="000000"/>
          <w:sz w:val="21"/>
        </w:rPr>
        <w:t>3、该商品房单价、总价款为含增值税价款。在本合同履行期间，如增值税税率发生调整的，该商品房含增值税总价款不变，买卖双方不因增值税税率变化而调整房价款或进行房价款补差。</w:t>
      </w:r>
    </w:p>
    <w:p w14:paraId="67A4E1AF">
      <w:pPr>
        <w:spacing w:line="300" w:lineRule="auto"/>
        <w:ind w:firstLine="420" w:firstLineChars="200"/>
      </w:pPr>
      <w:r>
        <w:rPr>
          <w:rFonts w:ascii="宋体" w:hAnsi="宋体" w:eastAsia="宋体" w:cs="宋体"/>
          <w:color w:val="000000"/>
          <w:sz w:val="21"/>
        </w:rPr>
        <w:t>4、买受人为增值税一般纳税人的，不论任何原因导致合同无效、解除、撤销等出卖人需退还房价款的，或者发生面积差异处理时出卖人需返还部分房价款的，出卖人在买受人配合出卖人按现行规定办理红字增值税专用发票开具及履行本合同约定的其他义务后，向买受人退还相应房价款。若买受人未配合办理增值税专用发票有关手续的，出卖人有权不予退还相应房价款。</w:t>
      </w:r>
    </w:p>
    <w:p w14:paraId="2484FC1C">
      <w:pPr>
        <w:spacing w:line="300" w:lineRule="auto"/>
        <w:ind w:firstLine="420" w:firstLineChars="200"/>
      </w:pPr>
      <w:r>
        <w:rPr>
          <w:rFonts w:ascii="宋体" w:hAnsi="宋体" w:eastAsia="宋体" w:cs="宋体"/>
          <w:color w:val="000000"/>
          <w:sz w:val="21"/>
        </w:rPr>
        <w:t> </w:t>
      </w:r>
    </w:p>
    <w:p w14:paraId="7AA93AD4">
      <w:pPr>
        <w:spacing w:line="300" w:lineRule="auto"/>
        <w:ind w:firstLine="422" w:firstLineChars="200"/>
      </w:pPr>
      <w:r>
        <w:rPr>
          <w:rFonts w:ascii="宋体" w:hAnsi="宋体" w:eastAsia="宋体" w:cs="宋体"/>
          <w:b/>
          <w:color w:val="000000"/>
          <w:sz w:val="21"/>
        </w:rPr>
        <w:t>十三、关于营销宣传的约定</w:t>
      </w:r>
    </w:p>
    <w:p w14:paraId="7C4727B7">
      <w:pPr>
        <w:spacing w:line="300" w:lineRule="auto"/>
        <w:ind w:firstLine="420" w:firstLineChars="200"/>
      </w:pPr>
      <w:r>
        <w:rPr>
          <w:rFonts w:ascii="宋体" w:hAnsi="宋体" w:eastAsia="宋体" w:cs="宋体"/>
          <w:color w:val="000000"/>
          <w:sz w:val="21"/>
        </w:rPr>
        <w:t>1、出卖人已就该商品房所在项目内部及周边的道路及规划情况向买受人进行了充分说明。如项目周边情况（包括道路、绿地、公园、学校、公共停车场、建筑形态、建筑高度、规划用途、公共交通设施等等）发生变化，均以政府规定为准，出卖人不承担责任。买受人已充分了解项目内部及周边道路及其他规划情况，该商品房可能受到道路、噪声、照明、粉尘、废气等周边不利因素的影响。因受条件所限和不同主体之间的认知差异，出卖人无法也无义务告知周边所有信息，买受人对以上内容已经知悉且无异议。本项目红线外非出卖人规划开发范围，因各种原因引起的调整、变化和影响均与出卖人无关，出卖人不再另行告知。</w:t>
      </w:r>
    </w:p>
    <w:p w14:paraId="704B28F2">
      <w:pPr>
        <w:spacing w:line="300" w:lineRule="auto"/>
        <w:ind w:firstLine="420" w:firstLineChars="200"/>
      </w:pPr>
      <w:r>
        <w:rPr>
          <w:rFonts w:ascii="宋体" w:hAnsi="宋体" w:eastAsia="宋体" w:cs="宋体"/>
          <w:color w:val="000000"/>
          <w:sz w:val="21"/>
        </w:rPr>
        <w:t>2、本合同签订前有关文件、楼书及其他资料中就《商品房买卖合同》项下商品房及相关设备设施（含建筑区划内公共部分、绿地）所作的表述，与《商品房买卖合同》及其附件规定不一致的，以《商品房买卖合同》及其附件为准，原有的表述不视为合同的要约或组成部分。销售宣传资料、户型布置图、精装修示意图、沙盘模型等仅作为参考，没有合同约束力，最终以竣工后的建筑区划内的房屋效果为准。</w:t>
      </w:r>
    </w:p>
    <w:p w14:paraId="47A04361">
      <w:pPr>
        <w:spacing w:line="300" w:lineRule="auto"/>
        <w:ind w:firstLine="420" w:firstLineChars="200"/>
      </w:pPr>
      <w:r>
        <w:rPr>
          <w:rFonts w:ascii="宋体" w:hAnsi="宋体" w:eastAsia="宋体" w:cs="宋体"/>
          <w:color w:val="000000"/>
          <w:sz w:val="21"/>
        </w:rPr>
        <w:t>3、本项目用地红线以外非出卖人规划开发范围，出卖人对建筑区划外的情况进行介绍或引用相关资料，仅具有参考作用，具体以实际实施的项目为准。买受人购买该商品房后，该商品房所在建筑区划外的环境、规划条件及土地利用情况发生变化并与出卖人销售该商品房时宣传描述的情况或客观现状不一致的，不论任何原因引起的调整、变化和影响均与出卖人无关，出卖人无需承担任何责任。</w:t>
      </w:r>
    </w:p>
    <w:p w14:paraId="164A70C2">
      <w:pPr>
        <w:spacing w:line="300" w:lineRule="auto"/>
        <w:ind w:firstLine="420" w:firstLineChars="200"/>
      </w:pPr>
      <w:r>
        <w:rPr>
          <w:rFonts w:ascii="宋体" w:hAnsi="宋体" w:eastAsia="宋体" w:cs="宋体"/>
          <w:color w:val="000000"/>
          <w:sz w:val="21"/>
        </w:rPr>
        <w:t>4、出卖人下属任何员工或代表在本合同及补充协议签署前后向买受人做出的与本合同及补充协议书不一致的承诺和意见均不代表出卖人的意思表示，对出卖人不具有法律约束力，出卖人的一切意思表示均以加盖出卖人公章的书面文件为准，买受人对此确认无异议。</w:t>
      </w:r>
    </w:p>
    <w:p w14:paraId="65382098">
      <w:pPr>
        <w:spacing w:line="300" w:lineRule="auto"/>
        <w:ind w:firstLine="420" w:firstLineChars="200"/>
      </w:pPr>
      <w:r>
        <w:rPr>
          <w:rFonts w:ascii="宋体" w:hAnsi="宋体" w:eastAsia="宋体" w:cs="宋体"/>
          <w:color w:val="000000"/>
          <w:sz w:val="21"/>
        </w:rPr>
        <w:t> </w:t>
      </w:r>
    </w:p>
    <w:p w14:paraId="202EAF0D">
      <w:pPr>
        <w:spacing w:line="300" w:lineRule="auto"/>
        <w:ind w:firstLine="422" w:firstLineChars="200"/>
      </w:pPr>
      <w:r>
        <w:rPr>
          <w:rFonts w:ascii="宋体" w:hAnsi="宋体" w:eastAsia="宋体" w:cs="宋体"/>
          <w:b/>
          <w:color w:val="000000"/>
          <w:sz w:val="21"/>
        </w:rPr>
        <w:t>十四、关于通知的约定</w:t>
      </w:r>
    </w:p>
    <w:p w14:paraId="67724C1E">
      <w:pPr>
        <w:spacing w:line="300" w:lineRule="auto"/>
        <w:ind w:firstLine="420" w:firstLineChars="200"/>
      </w:pPr>
      <w:r>
        <w:rPr>
          <w:rFonts w:ascii="宋体" w:hAnsi="宋体" w:eastAsia="宋体" w:cs="宋体"/>
          <w:color w:val="000000"/>
          <w:sz w:val="21"/>
        </w:rPr>
        <w:t>1、本合同的任何一方发出的通知，出卖人、买受人的收件地址为本合同文首载明的地址。</w:t>
      </w:r>
    </w:p>
    <w:p w14:paraId="7F17DB15">
      <w:pPr>
        <w:spacing w:line="300" w:lineRule="auto"/>
        <w:ind w:firstLine="420" w:firstLineChars="200"/>
      </w:pPr>
      <w:r>
        <w:rPr>
          <w:rFonts w:ascii="宋体" w:hAnsi="宋体" w:eastAsia="宋体" w:cs="宋体"/>
          <w:color w:val="000000"/>
          <w:sz w:val="21"/>
        </w:rPr>
        <w:t>2、本合同一方向对方发出的通知，符合下列情形之一均视为已送达：</w:t>
      </w:r>
    </w:p>
    <w:p w14:paraId="3E906D44">
      <w:pPr>
        <w:spacing w:line="300" w:lineRule="auto"/>
        <w:ind w:firstLine="420" w:firstLineChars="200"/>
      </w:pPr>
      <w:r>
        <w:rPr>
          <w:rFonts w:ascii="宋体" w:hAnsi="宋体" w:eastAsia="宋体" w:cs="宋体"/>
          <w:color w:val="000000"/>
          <w:sz w:val="21"/>
        </w:rPr>
        <w:t>（1）该通知已递交对方的；</w:t>
      </w:r>
    </w:p>
    <w:p w14:paraId="7993AC0B">
      <w:pPr>
        <w:spacing w:line="300" w:lineRule="auto"/>
        <w:ind w:firstLine="420" w:firstLineChars="200"/>
      </w:pPr>
      <w:r>
        <w:rPr>
          <w:rFonts w:ascii="宋体" w:hAnsi="宋体" w:eastAsia="宋体" w:cs="宋体"/>
          <w:color w:val="000000"/>
          <w:sz w:val="21"/>
        </w:rPr>
        <w:t>（2）该通知以邮寄或快递方式发出后3天的；</w:t>
      </w:r>
    </w:p>
    <w:p w14:paraId="57044230">
      <w:pPr>
        <w:spacing w:line="300" w:lineRule="auto"/>
        <w:ind w:firstLine="420" w:firstLineChars="200"/>
      </w:pPr>
      <w:r>
        <w:rPr>
          <w:rFonts w:ascii="宋体" w:hAnsi="宋体" w:eastAsia="宋体" w:cs="宋体"/>
          <w:color w:val="000000"/>
          <w:sz w:val="21"/>
        </w:rPr>
        <w:t>（3）以传真、电传或其它类似方法通知后对方以适当的形式确认的。</w:t>
      </w:r>
    </w:p>
    <w:p w14:paraId="62E12EED">
      <w:pPr>
        <w:spacing w:line="300" w:lineRule="auto"/>
        <w:ind w:firstLine="420" w:firstLineChars="200"/>
      </w:pPr>
      <w:r>
        <w:rPr>
          <w:rFonts w:ascii="宋体" w:hAnsi="宋体" w:eastAsia="宋体" w:cs="宋体"/>
          <w:color w:val="000000"/>
          <w:sz w:val="21"/>
        </w:rPr>
        <w:t>3、如因出卖人或买受人约定收件地址变更后未及时通知另一方，导致另一方发出的通知无法按时送达，或者在收件地址未变更的情况下，书面通知被以任何原因退回的，视为已送达，相应责任由未及时通知约定联系方式变更的责任方承担。</w:t>
      </w:r>
    </w:p>
    <w:p w14:paraId="4A3DAE3D">
      <w:pPr>
        <w:spacing w:line="300" w:lineRule="auto"/>
        <w:ind w:firstLine="420" w:firstLineChars="200"/>
      </w:pPr>
      <w:r>
        <w:rPr>
          <w:rFonts w:ascii="宋体" w:hAnsi="宋体" w:eastAsia="宋体" w:cs="宋体"/>
          <w:color w:val="000000"/>
          <w:sz w:val="21"/>
        </w:rPr>
        <w:t>4、买受人确认本合同载明的送达地址可以作为因履行本合同产生诉讼，法院诉讼文书（包括但不限于传票、开庭通知书、判决书、裁定书、调解书、限期履行通知书等法律文书）的送达地址。若无人签收，则文书退回之日视为送达；若拒收，则送达人书面记录的拒收日期即视为送达的日期。</w:t>
      </w:r>
    </w:p>
    <w:p w14:paraId="4E224201">
      <w:pPr>
        <w:spacing w:line="300" w:lineRule="auto"/>
        <w:ind w:firstLine="420" w:firstLineChars="200"/>
      </w:pPr>
      <w:r>
        <w:rPr>
          <w:rFonts w:ascii="宋体" w:hAnsi="宋体" w:eastAsia="宋体" w:cs="宋体"/>
          <w:color w:val="000000"/>
          <w:sz w:val="21"/>
        </w:rPr>
        <w:t>5、买受人一方若为两人或数人，出卖人向其中一人送达通知均视为向买受人之全体送达。</w:t>
      </w:r>
    </w:p>
    <w:p w14:paraId="55DE7234">
      <w:pPr>
        <w:spacing w:line="300" w:lineRule="auto"/>
        <w:ind w:firstLine="420" w:firstLineChars="200"/>
      </w:pPr>
      <w:r>
        <w:rPr>
          <w:rFonts w:ascii="宋体" w:hAnsi="宋体" w:eastAsia="宋体" w:cs="宋体"/>
          <w:color w:val="000000"/>
          <w:sz w:val="21"/>
        </w:rPr>
        <w:t> </w:t>
      </w:r>
    </w:p>
    <w:p w14:paraId="5F9F8925">
      <w:pPr>
        <w:spacing w:line="300" w:lineRule="auto"/>
        <w:ind w:firstLine="422" w:firstLineChars="200"/>
      </w:pPr>
      <w:r>
        <w:rPr>
          <w:rFonts w:ascii="宋体" w:hAnsi="宋体" w:eastAsia="宋体" w:cs="宋体"/>
          <w:b/>
          <w:color w:val="000000"/>
          <w:sz w:val="21"/>
        </w:rPr>
        <w:t>十五、其他约定</w:t>
      </w:r>
    </w:p>
    <w:p w14:paraId="3C3A4809">
      <w:pPr>
        <w:spacing w:line="300" w:lineRule="auto"/>
        <w:ind w:firstLine="420" w:firstLineChars="200"/>
      </w:pPr>
      <w:r>
        <w:rPr>
          <w:rFonts w:ascii="宋体" w:hAnsi="宋体" w:eastAsia="宋体" w:cs="宋体"/>
          <w:color w:val="000000"/>
          <w:sz w:val="21"/>
        </w:rPr>
        <w:t>1、买受人有权根据该项目的车位配置比例向出卖人书面申请受让相应车位的使用权，具体时间以出卖人公示、公告或通知为准。如买受人在出卖人公示、公告或通知后30日内未提出书面申请，视为自愿放弃车位使用权的优先受让权。出卖人有权将该项目配套车位全部转让、出租给其他商品房买受人、物业服务单位或其他第三人（含本小区业主以外的第三人）。买受人已知悉后期可供挑选的车位的位置、数量有限，可能将无法选到车位，因不选择受让车位使用权所产生的后果由买受人自行承担。</w:t>
      </w:r>
    </w:p>
    <w:p w14:paraId="0B4B25BF">
      <w:pPr>
        <w:spacing w:line="300" w:lineRule="auto"/>
        <w:ind w:firstLine="420" w:firstLineChars="200"/>
      </w:pPr>
      <w:r>
        <w:rPr>
          <w:rFonts w:ascii="宋体" w:hAnsi="宋体" w:eastAsia="宋体" w:cs="宋体"/>
          <w:color w:val="000000"/>
          <w:sz w:val="21"/>
        </w:rPr>
        <w:t>2、若买受人为两人或两人以上，所有买受人作为该房屋共有人，对买卖合同、本协议及其他合同附件所约定的义务（包括但不限于付款义务）承担不可撤销的连带责任。</w:t>
      </w:r>
      <w:r>
        <w:rPr>
          <w:rFonts w:ascii="宋体" w:hAnsi="宋体" w:eastAsia="宋体" w:cs="宋体"/>
          <w:i/>
          <w:color w:val="000000"/>
          <w:sz w:val="21"/>
        </w:rPr>
        <w:t xml:space="preserve">                                                                                                                                                                                                                                                                                                                                                                                                                                                                                                                                                                                                                                                                                                                                                                                                                                                                                                                                                                                                                                                                                                                                                                                                                                                                                                                                                                                                                                                                                                                                                                                                                                                                                                                                                                                                                                                                                                                                                                                                                                                                                                                                                                                                                                                                                                                                                                                                                                                                                                                                                                                                                                                                                                                                                                                                                                                                                                                                                                                                                                                                                                                                                                                                                                                                                                                                                                                                                                                                                                                                                                                                                                                                                                                                                                                                                                                                                                                                                                                                                                                                                                                                                                                                                </w:t>
      </w:r>
      <w:r>
        <w:rPr>
          <w:rFonts w:ascii="宋体" w:hAnsi="宋体" w:eastAsia="宋体" w:cs="宋体"/>
          <w:i/>
          <w:color w:val="000000"/>
          <w:sz w:val="21"/>
        </w:rPr>
        <w:t xml:space="preserve">                                                                                                                                                                                                                                                                                                                                                                                                                                                                                                                                                                                                                                                                                                                                                                                                                                                                                                                                                                                                                                                                                                                                                                                                                                                                                                                                                                                                                                                                                                                                                                                                                                                                                                                                                                                                                                                                                                                                                                                                                                                                                                                                                                                                                                                                                                                                                                                                                                                                                                                                                                                                                                                                                                                                                                                                                                                                                                                                                                                                                                                                                                                                                                                                                                                                                                                                                                                                                                                                                                                                                                                                                                                                                                                                                                                                                                                                                                                                                                                                                                                                                                                                                                                                                </w:t>
      </w:r>
      <w:r>
        <w:rPr>
          <w:rFonts w:ascii="宋体" w:hAnsi="宋体" w:eastAsia="宋体" w:cs="宋体"/>
          <w:i/>
          <w:color w:val="000000"/>
          <w:sz w:val="21"/>
        </w:rPr>
        <w:t xml:space="preserve">                                                                                                                                                                                                                                                                                                                                                                                                                                                                                                                                                                                                                                                                                                                                                                                                                                                                                                                                                                                                                                                                                                                                                                                                                                                                                                                                                                                                                                                                                                                                                                                                                                                                                                                                                                                                                                                                                                                                                                                                                                                                                                                                                                                                                                                                                                                                                                                                                                                                                                                                                                                                                                                                                                                                                                                                                                                                                                                                                                                                                                                                                                                                                                                                                                                                                                                                                                                                                                                                                                                                                                                                                                                                                                                                                                                                                                                                                                                                                                                                                                                                                                                                                                                                                </w:t>
      </w:r>
      <w:r>
        <w:rPr>
          <w:rFonts w:ascii="宋体" w:hAnsi="宋体" w:eastAsia="宋体" w:cs="宋体"/>
          <w:i/>
          <w:color w:val="000000"/>
          <w:sz w:val="21"/>
        </w:rPr>
        <w:t xml:space="preserve">                                                                                                                                                                                                                                                                                                                                                                                                                                                                                                                                                                                                                                                                                                                                                                                                                                                                                                                                                                                                                                                                                                                                                                                                                                                                                                                                                                                                                                                                                                                                                                                                                                                                                                                                                                                                                                                                                                                                                                                                                                                                                                </w:t>
      </w:r>
    </w:p>
    <w:p w14:paraId="6E9E0973">
      <w:pPr>
        <w:spacing w:line="300" w:lineRule="auto"/>
        <w:ind w:firstLine="420" w:firstLineChars="200"/>
      </w:pPr>
      <w:r>
        <w:rPr>
          <w:rFonts w:ascii="宋体" w:hAnsi="宋体" w:eastAsia="宋体" w:cs="宋体"/>
          <w:color w:val="000000"/>
          <w:sz w:val="21"/>
        </w:rPr>
        <w:t>3、根据商品房所在地的相关政策要求，买受人应符合相应的购房资格，并对其向出卖人提供的购房资格证明材料的真实性、准确性负责。若买受人提供虚假资料、漏报瞒报家庭成员信息，骗取购房资格的，出卖人一经发现即有权取消其购房资格并解除《商品房买卖合同》，同时有权要求买受人按本合同总房价款的10%向出卖人支付违约金，违约金额不足弥补出卖人实际损失的，不足部分出卖人有权另行追偿。</w:t>
      </w:r>
    </w:p>
    <w:p w14:paraId="7AC4F2C3">
      <w:pPr>
        <w:spacing w:line="300" w:lineRule="auto"/>
        <w:ind w:firstLine="420" w:firstLineChars="200"/>
      </w:pPr>
      <w:r>
        <w:rPr>
          <w:rFonts w:ascii="宋体" w:hAnsi="宋体" w:eastAsia="宋体" w:cs="宋体"/>
          <w:color w:val="000000"/>
          <w:sz w:val="21"/>
        </w:rPr>
        <w:t>4、如买受人属境外机构或个人购房的，其提供的资料及购买该商品房的条件应符合房地产市场外资准入的相关规定。如因提供的资料及购房条件不符合该文件精神，导致商品房交付后不能办理房屋所有权证的，由此而引起的相关责任由买受方自行承担。若国家出台新的相关政策，则按新的政策执行。</w:t>
      </w:r>
    </w:p>
    <w:p w14:paraId="56144971">
      <w:pPr>
        <w:spacing w:line="300" w:lineRule="auto"/>
        <w:ind w:firstLine="420" w:firstLineChars="200"/>
      </w:pPr>
      <w:r>
        <w:rPr>
          <w:rFonts w:ascii="宋体" w:hAnsi="宋体" w:eastAsia="宋体" w:cs="宋体"/>
          <w:color w:val="000000"/>
          <w:sz w:val="21"/>
        </w:rPr>
        <w:t>5、各买受人已经知悉并同意：在本建筑区划建设过程中以及物业交付业主入住使用后，出卖人或其关联公司可以组织、安排相关单位、人员，参观、考察本建筑区划，学习、借鉴本建筑区划及物业的开发经验和品质，物业服务企业或业主委员会、业主大会等在接到相关通知后不得拒绝和设置障碍，也不应向出卖人或其关联公司或来访单位、人员收取任何费用。</w:t>
      </w:r>
    </w:p>
    <w:p w14:paraId="02B2C530">
      <w:pPr>
        <w:spacing w:line="300" w:lineRule="auto"/>
        <w:ind w:firstLine="420" w:firstLineChars="200"/>
      </w:pPr>
      <w:r>
        <w:rPr>
          <w:rFonts w:ascii="宋体" w:hAnsi="宋体" w:eastAsia="宋体" w:cs="宋体"/>
          <w:color w:val="000000"/>
          <w:sz w:val="21"/>
        </w:rPr>
        <w:t>6、出卖人与买受人一致确认；出卖人因承担担保责任而向买受人提起的追偿纠纷，向原告所在地人民法院起诉。</w:t>
      </w:r>
    </w:p>
    <w:p w14:paraId="4C467C60">
      <w:pPr>
        <w:spacing w:line="300" w:lineRule="auto"/>
        <w:ind w:firstLine="420" w:firstLineChars="200"/>
      </w:pPr>
      <w:r>
        <w:rPr>
          <w:rFonts w:ascii="宋体" w:hAnsi="宋体" w:eastAsia="宋体" w:cs="宋体"/>
          <w:color w:val="000000"/>
          <w:sz w:val="21"/>
        </w:rPr>
        <w:t> </w:t>
      </w:r>
    </w:p>
    <w:p w14:paraId="3A13B8EE">
      <w:pPr>
        <w:spacing w:line="300" w:lineRule="auto"/>
        <w:ind w:firstLine="422" w:firstLineChars="200"/>
      </w:pPr>
      <w:r>
        <w:rPr>
          <w:rFonts w:ascii="宋体" w:hAnsi="宋体" w:eastAsia="宋体" w:cs="宋体"/>
          <w:b/>
          <w:color w:val="000000"/>
          <w:sz w:val="21"/>
        </w:rPr>
        <w:t>十五、特别声明</w:t>
      </w:r>
    </w:p>
    <w:p w14:paraId="2673F4D1">
      <w:pPr>
        <w:spacing w:line="300" w:lineRule="auto"/>
        <w:ind w:firstLine="422" w:firstLineChars="200"/>
      </w:pPr>
      <w:r>
        <w:rPr>
          <w:rFonts w:ascii="黑体" w:hAnsi="黑体" w:eastAsia="黑体" w:cs="黑体"/>
          <w:b/>
          <w:color w:val="000000"/>
          <w:sz w:val="21"/>
          <w:u w:val="single"/>
        </w:rPr>
        <w:t>在本合同（含补充协议）签订前，出卖人已就本合同（含补充协议）的全部条款向买受人进行了合理的提示并作了充分说明与解释，买受人已完全知晓并确认补充协议中未含有不合理的减轻或免除主合同中约定应当由出卖人承担的责任，或不合理的加重买受人责任、排除买受人主要权利内容的条款，买受人对此并无异议。补充协议与商品房买卖合同主文及附件不一致的，以补充协议为准。</w:t>
      </w:r>
    </w:p>
    <w:p w14:paraId="32AE55D2">
      <w:pPr>
        <w:spacing w:line="300" w:lineRule="auto"/>
        <w:ind w:firstLine="420" w:firstLineChars="200"/>
      </w:pPr>
      <w:r>
        <w:rPr>
          <w:rFonts w:ascii="宋体" w:hAnsi="宋体" w:eastAsia="宋体" w:cs="宋体"/>
          <w:i/>
          <w:color w:val="000000"/>
          <w:sz w:val="21"/>
        </w:rPr>
        <w:t> </w:t>
      </w:r>
    </w:p>
    <w:p w14:paraId="23C462CC">
      <w:pPr>
        <w:spacing w:line="300" w:lineRule="auto"/>
        <w:ind w:firstLine="420" w:firstLineChars="200"/>
      </w:pPr>
      <w:r>
        <w:rPr>
          <w:rFonts w:ascii="宋体" w:hAnsi="宋体" w:eastAsia="宋体" w:cs="宋体"/>
          <w:i/>
          <w:color w:val="000000"/>
          <w:sz w:val="21"/>
        </w:rPr>
        <w:t>  </w:t>
      </w:r>
    </w:p>
    <w:p w14:paraId="5DCF6698">
      <w:pPr>
        <w:spacing w:line="300" w:lineRule="auto"/>
      </w:pPr>
      <w:r>
        <w:rPr>
          <w:rFonts w:ascii="宋体" w:hAnsi="宋体" w:eastAsia="宋体" w:cs="宋体"/>
          <w:i/>
          <w:color w:val="000000"/>
          <w:sz w:val="21"/>
        </w:rPr>
        <w:t>出卖人（签章）：                      买受人（签章）：</w:t>
      </w:r>
    </w:p>
    <w:p w14:paraId="3E7BD1A0">
      <w:pPr>
        <w:spacing w:line="300" w:lineRule="auto"/>
      </w:pPr>
      <w:r>
        <w:rPr>
          <w:rFonts w:ascii="宋体" w:hAnsi="宋体" w:eastAsia="宋体" w:cs="宋体"/>
          <w:i/>
          <w:color w:val="000000"/>
          <w:sz w:val="21"/>
        </w:rPr>
        <w:t> </w:t>
      </w:r>
    </w:p>
    <w:p w14:paraId="7188E4B2">
      <w:pPr>
        <w:spacing w:line="300" w:lineRule="auto"/>
      </w:pPr>
      <w:r>
        <w:rPr>
          <w:rFonts w:ascii="宋体" w:hAnsi="宋体" w:eastAsia="宋体" w:cs="宋体"/>
          <w:i/>
          <w:color w:val="000000"/>
          <w:sz w:val="21"/>
        </w:rPr>
        <w:t>【法定代表人】：                      【法定代表人】：</w:t>
      </w:r>
    </w:p>
    <w:p w14:paraId="069E6A5B">
      <w:pPr>
        <w:spacing w:line="300" w:lineRule="auto"/>
      </w:pPr>
      <w:r>
        <w:rPr>
          <w:rFonts w:ascii="宋体" w:hAnsi="宋体" w:eastAsia="宋体" w:cs="宋体"/>
          <w:i/>
          <w:color w:val="000000"/>
          <w:sz w:val="21"/>
        </w:rPr>
        <w:t> </w:t>
      </w:r>
    </w:p>
    <w:p w14:paraId="14F96628">
      <w:pPr>
        <w:spacing w:line="300" w:lineRule="auto"/>
      </w:pPr>
      <w:r>
        <w:rPr>
          <w:rFonts w:ascii="宋体" w:hAnsi="宋体" w:eastAsia="宋体" w:cs="宋体"/>
          <w:i/>
          <w:color w:val="000000"/>
          <w:sz w:val="21"/>
        </w:rPr>
        <w:t>【委托代理人】：                      【委托代理人】：</w:t>
      </w:r>
    </w:p>
    <w:p w14:paraId="5E7B14C4">
      <w:pPr>
        <w:spacing w:line="300" w:lineRule="auto"/>
      </w:pPr>
      <w:r>
        <w:rPr>
          <w:rFonts w:ascii="宋体" w:hAnsi="宋体" w:eastAsia="宋体" w:cs="宋体"/>
          <w:i/>
          <w:color w:val="000000"/>
          <w:sz w:val="21"/>
        </w:rPr>
        <w:t> </w:t>
      </w:r>
    </w:p>
    <w:p w14:paraId="45ADEBB4">
      <w:pPr>
        <w:spacing w:line="300" w:lineRule="auto"/>
      </w:pPr>
      <w:r>
        <w:rPr>
          <w:rFonts w:ascii="宋体" w:hAnsi="宋体" w:eastAsia="宋体" w:cs="宋体"/>
          <w:i/>
          <w:color w:val="000000"/>
          <w:sz w:val="21"/>
        </w:rPr>
        <w:t xml:space="preserve">        年    月    日                        年    月    日</w:t>
      </w:r>
    </w:p>
    <w:p w14:paraId="4D31F7B6">
      <w:pPr>
        <w:spacing w:before="50" w:after="120" w:line="250" w:lineRule="exact"/>
        <w:jc w:val="left"/>
      </w:pPr>
      <w:r>
        <w:rPr>
          <w:rFonts w:ascii="宋体" w:hAnsi="宋体" w:eastAsia="宋体" w:cs="宋体"/>
          <w:i/>
          <w:color w:val="000000"/>
          <w:spacing w:val="1"/>
          <w:sz w:val="24"/>
        </w:rPr>
        <w:t> </w:t>
      </w:r>
    </w:p>
    <w:p w14:paraId="2B79391D">
      <w:pPr>
        <w:snapToGrid w:val="0"/>
        <w:spacing w:line="300" w:lineRule="auto"/>
      </w:pPr>
      <w:r>
        <w:rPr>
          <w:rFonts w:ascii="宋体" w:hAnsi="宋体" w:eastAsia="宋体" w:cs="宋体"/>
          <w:color w:val="000000"/>
          <w:sz w:val="21"/>
        </w:rPr>
        <w:t> </w:t>
      </w:r>
    </w:p>
    <w:p w14:paraId="0A506035">
      <w:pPr>
        <w:widowControl/>
        <w:jc w:val="left"/>
        <w:rPr>
          <w:rFonts w:ascii="黑体" w:hAnsi="宋体" w:eastAsia="黑体"/>
          <w:color w:val="000000" w:themeColor="text1"/>
          <w:szCs w:val="32"/>
          <w14:textFill>
            <w14:solidFill>
              <w14:schemeClr w14:val="tx1"/>
            </w14:solidFill>
          </w14:textFill>
        </w:rPr>
      </w:pPr>
      <w:r>
        <w:rPr>
          <w:rFonts w:ascii="宋体" w:hAnsi="宋体" w:eastAsia="宋体" w:cs="宋体"/>
          <w:color w:val="000000"/>
          <w:sz w:val="21"/>
        </w:rPr>
        <w:t> </w:t>
      </w:r>
      <w:r>
        <w:rPr>
          <w:rFonts w:hint="eastAsia" w:ascii="黑体" w:hAnsi="宋体" w:eastAsia="黑体"/>
          <w:color w:val="000000" w:themeColor="text1"/>
          <w:szCs w:val="32"/>
          <w14:textFill>
            <w14:solidFill>
              <w14:schemeClr w14:val="tx1"/>
            </w14:solidFill>
          </w14:textFill>
        </w:rPr>
        <w:t>附件6：</w:t>
      </w:r>
    </w:p>
    <w:p w14:paraId="66A9685E">
      <w:pPr>
        <w:tabs>
          <w:tab w:val="left" w:pos="644"/>
        </w:tabs>
        <w:snapToGrid w:val="0"/>
        <w:spacing w:before="156" w:beforeLines="50" w:after="156" w:afterLines="50"/>
        <w:jc w:val="center"/>
        <w:rPr>
          <w:rFonts w:hint="eastAsia" w:ascii="黑体" w:hAnsi="宋体" w:eastAsia="黑体"/>
          <w:color w:val="000000" w:themeColor="text1"/>
          <w:szCs w:val="32"/>
          <w14:textFill>
            <w14:solidFill>
              <w14:schemeClr w14:val="tx1"/>
            </w14:solidFill>
          </w14:textFill>
        </w:rPr>
      </w:pPr>
      <w:r>
        <w:rPr>
          <w:rFonts w:hint="eastAsia" w:ascii="黑体" w:hAnsi="宋体" w:eastAsia="黑体"/>
          <w:color w:val="000000" w:themeColor="text1"/>
          <w:szCs w:val="32"/>
          <w14:textFill>
            <w14:solidFill>
              <w14:schemeClr w14:val="tx1"/>
            </w14:solidFill>
          </w14:textFill>
        </w:rPr>
        <w:t>预（销）售许可证（A4）</w:t>
      </w:r>
    </w:p>
    <w:p w14:paraId="31B743E1">
      <w:pPr>
        <w:tabs>
          <w:tab w:val="left" w:pos="644"/>
        </w:tabs>
        <w:snapToGrid w:val="0"/>
        <w:spacing w:before="156" w:beforeLines="50" w:after="156" w:afterLines="50"/>
        <w:jc w:val="center"/>
        <w:rPr>
          <w:rFonts w:hint="eastAsia" w:ascii="黑体" w:hAnsi="宋体" w:eastAsia="黑体"/>
          <w:color w:val="000000" w:themeColor="text1"/>
          <w:szCs w:val="32"/>
          <w:lang w:eastAsia="zh-CN"/>
          <w14:textFill>
            <w14:solidFill>
              <w14:schemeClr w14:val="tx1"/>
            </w14:solidFill>
          </w14:textFill>
        </w:rPr>
      </w:pPr>
      <w:bookmarkStart w:id="0" w:name="_GoBack"/>
      <w:r>
        <w:rPr>
          <w:rFonts w:hint="eastAsia" w:ascii="黑体" w:hAnsi="宋体" w:eastAsia="黑体"/>
          <w:color w:val="000000" w:themeColor="text1"/>
          <w:szCs w:val="32"/>
          <w:lang w:eastAsia="zh-CN"/>
          <w14:textFill>
            <w14:solidFill>
              <w14:schemeClr w14:val="tx1"/>
            </w14:solidFill>
          </w14:textFill>
        </w:rPr>
        <w:drawing>
          <wp:inline distT="0" distB="0" distL="114300" distR="114300">
            <wp:extent cx="6270625" cy="4340225"/>
            <wp:effectExtent l="0" t="0" r="15875" b="3175"/>
            <wp:docPr id="1" name="图片 1" descr="预售许可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预售许可证_01"/>
                    <pic:cNvPicPr>
                      <a:picLocks noChangeAspect="1"/>
                    </pic:cNvPicPr>
                  </pic:nvPicPr>
                  <pic:blipFill>
                    <a:blip r:embed="rId13"/>
                    <a:stretch>
                      <a:fillRect/>
                    </a:stretch>
                  </pic:blipFill>
                  <pic:spPr>
                    <a:xfrm>
                      <a:off x="0" y="0"/>
                      <a:ext cx="6270625" cy="4340225"/>
                    </a:xfrm>
                    <a:prstGeom prst="rect">
                      <a:avLst/>
                    </a:prstGeom>
                  </pic:spPr>
                </pic:pic>
              </a:graphicData>
            </a:graphic>
          </wp:inline>
        </w:drawing>
      </w:r>
      <w:bookmarkEnd w:id="0"/>
    </w:p>
    <w:sectPr>
      <w:pgSz w:w="11906" w:h="16838"/>
      <w:pgMar w:top="851" w:right="720" w:bottom="851" w:left="72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swiss"/>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Microsoft JhengHei">
    <w:panose1 w:val="020B0604030504040204"/>
    <w:charset w:val="88"/>
    <w:family w:val="swiss"/>
    <w:pitch w:val="default"/>
    <w:sig w:usb0="000002A7" w:usb1="28CF4400" w:usb2="00000016" w:usb3="00000000" w:csb0="00100009"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1F4E"/>
    <w:rsid w:val="000D0E6E"/>
    <w:rsid w:val="00152816"/>
    <w:rsid w:val="00155960"/>
    <w:rsid w:val="001A617F"/>
    <w:rsid w:val="001D01CD"/>
    <w:rsid w:val="0021790E"/>
    <w:rsid w:val="002B4573"/>
    <w:rsid w:val="002D023E"/>
    <w:rsid w:val="003005FA"/>
    <w:rsid w:val="004504CB"/>
    <w:rsid w:val="00574BAB"/>
    <w:rsid w:val="005E05B0"/>
    <w:rsid w:val="007611E5"/>
    <w:rsid w:val="007E0315"/>
    <w:rsid w:val="007F0603"/>
    <w:rsid w:val="0084477F"/>
    <w:rsid w:val="00857371"/>
    <w:rsid w:val="008A4CCD"/>
    <w:rsid w:val="00921F4E"/>
    <w:rsid w:val="009233BD"/>
    <w:rsid w:val="00AA303B"/>
    <w:rsid w:val="00B20B19"/>
    <w:rsid w:val="00BE1C8F"/>
    <w:rsid w:val="00D06A78"/>
    <w:rsid w:val="00ED136E"/>
    <w:rsid w:val="00EF7EE8"/>
    <w:rsid w:val="00F5108A"/>
    <w:rsid w:val="00F80F72"/>
    <w:rsid w:val="00FD69D6"/>
    <w:rsid w:val="03CC3F79"/>
    <w:rsid w:val="0A047478"/>
    <w:rsid w:val="0BCF796E"/>
    <w:rsid w:val="0F737665"/>
    <w:rsid w:val="0FD30310"/>
    <w:rsid w:val="13026672"/>
    <w:rsid w:val="1A8B64E4"/>
    <w:rsid w:val="1AE300CE"/>
    <w:rsid w:val="27A06672"/>
    <w:rsid w:val="31C321A1"/>
    <w:rsid w:val="3960258D"/>
    <w:rsid w:val="3ED626EB"/>
    <w:rsid w:val="442D1D69"/>
    <w:rsid w:val="55050666"/>
    <w:rsid w:val="593C3D4E"/>
    <w:rsid w:val="5AAB707A"/>
    <w:rsid w:val="5E5652BD"/>
    <w:rsid w:val="66666687"/>
    <w:rsid w:val="702C7A97"/>
    <w:rsid w:val="742B12F0"/>
    <w:rsid w:val="7F03119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仿宋_GB2312" w:cs="Times New Roman"/>
      <w:kern w:val="2"/>
      <w:sz w:val="32"/>
      <w:lang w:val="en-US" w:eastAsia="zh-CN" w:bidi="ar-SA"/>
    </w:rPr>
  </w:style>
  <w:style w:type="character" w:default="1" w:styleId="7">
    <w:name w:val="Default Paragraph Font"/>
    <w:semiHidden/>
    <w:unhideWhenUsed/>
    <w:qFormat/>
    <w:uiPriority w:val="1"/>
  </w:style>
  <w:style w:type="table" w:default="1" w:styleId="5">
    <w:name w:val="Normal Table"/>
    <w:semiHidden/>
    <w:unhideWhenUsed/>
    <w:uiPriority w:val="99"/>
    <w:tblPr>
      <w:tblCellMar>
        <w:top w:w="0" w:type="dxa"/>
        <w:left w:w="108" w:type="dxa"/>
        <w:bottom w:w="0" w:type="dxa"/>
        <w:right w:w="108" w:type="dxa"/>
      </w:tblCellMar>
    </w:tblPr>
  </w:style>
  <w:style w:type="paragraph" w:styleId="2">
    <w:name w:val="Body Text Indent 2"/>
    <w:basedOn w:val="1"/>
    <w:link w:val="8"/>
    <w:qFormat/>
    <w:uiPriority w:val="0"/>
    <w:pPr>
      <w:adjustRightInd w:val="0"/>
      <w:snapToGrid w:val="0"/>
      <w:spacing w:beforeLines="50" w:beforeAutospacing="1" w:afterLines="50" w:afterAutospacing="1" w:line="480" w:lineRule="exact"/>
      <w:ind w:firstLine="600" w:firstLineChars="200"/>
    </w:pPr>
    <w:rPr>
      <w:sz w:val="30"/>
    </w:rPr>
  </w:style>
  <w:style w:type="paragraph" w:styleId="3">
    <w:name w:val="footer"/>
    <w:basedOn w:val="1"/>
    <w:link w:val="10"/>
    <w:unhideWhenUsed/>
    <w:qFormat/>
    <w:uiPriority w:val="99"/>
    <w:pPr>
      <w:tabs>
        <w:tab w:val="center" w:pos="4153"/>
        <w:tab w:val="right" w:pos="8306"/>
      </w:tabs>
      <w:snapToGrid w:val="0"/>
      <w:jc w:val="left"/>
    </w:pPr>
    <w:rPr>
      <w:sz w:val="18"/>
      <w:szCs w:val="18"/>
    </w:rPr>
  </w:style>
  <w:style w:type="paragraph" w:styleId="4">
    <w:name w:val="header"/>
    <w:basedOn w:val="1"/>
    <w:link w:val="9"/>
    <w:unhideWhenUsed/>
    <w:qFormat/>
    <w:uiPriority w:val="99"/>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5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8">
    <w:name w:val="正文文本缩进 2 字符"/>
    <w:basedOn w:val="7"/>
    <w:link w:val="2"/>
    <w:qFormat/>
    <w:uiPriority w:val="0"/>
    <w:rPr>
      <w:rFonts w:ascii="Times New Roman" w:hAnsi="Times New Roman" w:eastAsia="仿宋_GB2312" w:cs="Times New Roman"/>
      <w:sz w:val="30"/>
      <w:szCs w:val="20"/>
    </w:rPr>
  </w:style>
  <w:style w:type="character" w:customStyle="1" w:styleId="9">
    <w:name w:val="页眉 字符"/>
    <w:basedOn w:val="7"/>
    <w:link w:val="4"/>
    <w:qFormat/>
    <w:uiPriority w:val="99"/>
    <w:rPr>
      <w:rFonts w:ascii="Times New Roman" w:hAnsi="Times New Roman" w:eastAsia="仿宋_GB2312" w:cs="Times New Roman"/>
      <w:sz w:val="18"/>
      <w:szCs w:val="18"/>
    </w:rPr>
  </w:style>
  <w:style w:type="character" w:customStyle="1" w:styleId="10">
    <w:name w:val="页脚 字符"/>
    <w:basedOn w:val="7"/>
    <w:link w:val="3"/>
    <w:qFormat/>
    <w:uiPriority w:val="99"/>
    <w:rPr>
      <w:rFonts w:ascii="Times New Roman" w:hAnsi="Times New Roman" w:eastAsia="仿宋_GB2312" w:cs="Times New Roman"/>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image" Target="media/image10.pn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Microsoft China</Company>
  <Pages>52</Pages>
  <Words>38378</Words>
  <Characters>39398</Characters>
  <Lines>424</Lines>
  <Paragraphs>119</Paragraphs>
  <TotalTime>2</TotalTime>
  <ScaleCrop>false</ScaleCrop>
  <LinksUpToDate>false</LinksUpToDate>
  <CharactersWithSpaces>58332</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2025-10-11T11:13:00Z</dcterms:created>
  <dc:creator>24787</dc:creator>
  <cp:lastModifiedBy>煎饼</cp:lastModifiedBy>
  <dcterms:modified xsi:type="dcterms:W3CDTF">2025-12-18T08:07:02Z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eyJoZGlkIjoiYzFmYmQ5YmM4MDI2MmZlZGI1NWI2OGM4NjVjN2ZiMzYiLCJ1c2VySWQiOiIxNTUxMDc3ODAyIn0=</vt:lpwstr>
  </property>
  <property fmtid="{D5CDD505-2E9C-101B-9397-08002B2CF9AE}" pid="3" name="KSOProductBuildVer">
    <vt:lpwstr>2052-12.1.0.24034</vt:lpwstr>
  </property>
  <property fmtid="{D5CDD505-2E9C-101B-9397-08002B2CF9AE}" pid="4" name="ICV">
    <vt:lpwstr>2D258CC1A9D84A939AE7CB1C09723FC8_13</vt:lpwstr>
  </property>
</Properties>
</file>